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 w:right="3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ING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INU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NCE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ttee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bud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ttee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X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CU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’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432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232"/>
        <w:sectPr>
          <w:pgNumType w:start="1"/>
          <w:pgMar w:header="746" w:footer="525" w:top="1260" w:bottom="280" w:left="1340" w:right="1320"/>
          <w:headerReference w:type="default" r:id="rId3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NCY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.”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0" w:righ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104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hanges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2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 w:right="3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6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46" w:footer="525" w:top="126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2.48pt;margin-top:754.729pt;width:9.52727pt;height:11.96pt;mso-position-horizontal-relative:page;mso-position-vertical-relative:page;z-index:-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7.68pt;margin-top:36.3162pt;width:376.653pt;height:27.8pt;mso-position-horizontal-relative:page;mso-position-vertical-relative:page;z-index:-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lth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Inform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tion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nd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ight</w:t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4"/>
                    <w:szCs w:val="24"/>
                  </w:rPr>
                  <w:t>Coun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4"/>
                    <w:szCs w:val="24"/>
                  </w:rPr>
                  <w:t>il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2874" w:right="287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99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24"/>
                    <w:szCs w:val="24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4"/>
                    <w:szCs w:val="24"/>
                  </w:rPr>
                  <w:t>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