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B2" w:rsidRPr="00584C49" w:rsidRDefault="00940CB2" w:rsidP="00940CB2">
      <w:p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Final Calendar Year (CY) </w:t>
      </w:r>
      <w:r w:rsidR="008D32EF"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>201</w:t>
      </w:r>
      <w:r w:rsidR="00584C49"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>7</w:t>
      </w:r>
      <w:r w:rsidR="00AB554E"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r w:rsidRPr="00584C49">
        <w:rPr>
          <w:rFonts w:ascii="Arial" w:hAnsi="Arial" w:cs="Arial"/>
          <w:b/>
          <w:color w:val="17365D" w:themeColor="text2" w:themeShade="BF"/>
          <w:sz w:val="28"/>
          <w:szCs w:val="28"/>
        </w:rPr>
        <w:t>Statewide Relative Price (S-RP) Results</w:t>
      </w:r>
    </w:p>
    <w:p w:rsidR="00AB554E" w:rsidRPr="00584C49" w:rsidRDefault="00AB554E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p w:rsidR="00940CB2" w:rsidRPr="00584C49" w:rsidRDefault="00AB554E" w:rsidP="00940CB2">
      <w:pPr>
        <w:rPr>
          <w:rFonts w:ascii="Arial" w:hAnsi="Arial" w:cs="Arial"/>
          <w:b/>
          <w:bCs/>
          <w:color w:val="E36C0A" w:themeColor="accent6" w:themeShade="BF"/>
        </w:rPr>
      </w:pPr>
      <w:r w:rsidRPr="00584C49">
        <w:rPr>
          <w:rFonts w:ascii="Arial" w:hAnsi="Arial" w:cs="Arial"/>
          <w:b/>
          <w:bCs/>
          <w:color w:val="E36C0A" w:themeColor="accent6" w:themeShade="BF"/>
        </w:rPr>
        <w:t>Aggregate S-RP and Community Hospital Reinvestment Fund Eligibility Results</w:t>
      </w:r>
    </w:p>
    <w:p w:rsidR="00AB554E" w:rsidRPr="00584C49" w:rsidRDefault="00AB554E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3780"/>
      </w:tblGrid>
      <w:tr w:rsidR="00AB554E" w:rsidRPr="00584C49" w:rsidTr="00584C49">
        <w:trPr>
          <w:trHeight w:val="216"/>
        </w:trPr>
        <w:tc>
          <w:tcPr>
            <w:tcW w:w="46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shd w:val="clear" w:color="auto" w:fill="005480"/>
            <w:vAlign w:val="center"/>
          </w:tcPr>
          <w:p w:rsidR="00AB554E" w:rsidRPr="00584C49" w:rsidRDefault="00AB554E" w:rsidP="003F25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84C4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Measure</w:t>
            </w:r>
          </w:p>
        </w:tc>
        <w:tc>
          <w:tcPr>
            <w:tcW w:w="3780" w:type="dxa"/>
            <w:tcBorders>
              <w:top w:val="single" w:sz="4" w:space="0" w:color="1F497D" w:themeColor="text2"/>
              <w:left w:val="single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5480"/>
            <w:vAlign w:val="center"/>
          </w:tcPr>
          <w:p w:rsidR="00AB554E" w:rsidRPr="00584C49" w:rsidRDefault="00AB554E" w:rsidP="003F2503">
            <w:pPr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584C4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Results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tcBorders>
              <w:top w:val="single" w:sz="4" w:space="0" w:color="1F497D" w:themeColor="text2"/>
            </w:tcBorders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Range of S-RP Values</w:t>
            </w:r>
          </w:p>
        </w:tc>
        <w:tc>
          <w:tcPr>
            <w:tcW w:w="3780" w:type="dxa"/>
            <w:tcBorders>
              <w:top w:val="single" w:sz="4" w:space="0" w:color="1F497D" w:themeColor="text2"/>
            </w:tcBorders>
            <w:vAlign w:val="center"/>
          </w:tcPr>
          <w:p w:rsidR="00AB554E" w:rsidRPr="00584C49" w:rsidRDefault="008D32EF" w:rsidP="00852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0.68</w:t>
            </w:r>
            <w:r w:rsidR="00852D8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584C49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84C49" w:rsidRPr="00584C49">
              <w:rPr>
                <w:rFonts w:ascii="Arial" w:hAnsi="Arial" w:cs="Arial"/>
                <w:bCs/>
                <w:sz w:val="22"/>
                <w:szCs w:val="22"/>
              </w:rPr>
              <w:t>1.924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Median S-RP</w:t>
            </w:r>
          </w:p>
        </w:tc>
        <w:tc>
          <w:tcPr>
            <w:tcW w:w="3780" w:type="dxa"/>
            <w:vAlign w:val="center"/>
          </w:tcPr>
          <w:p w:rsidR="00AB554E" w:rsidRPr="00584C49" w:rsidRDefault="008D32EF" w:rsidP="00584C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0.91</w:t>
            </w:r>
            <w:r w:rsidR="00584C49" w:rsidRPr="00584C49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120 Percent of Median S-RP</w:t>
            </w:r>
          </w:p>
        </w:tc>
        <w:tc>
          <w:tcPr>
            <w:tcW w:w="3780" w:type="dxa"/>
            <w:vAlign w:val="center"/>
          </w:tcPr>
          <w:p w:rsidR="00AB554E" w:rsidRPr="00584C49" w:rsidRDefault="008D32EF" w:rsidP="00584C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1.09</w:t>
            </w:r>
            <w:r w:rsidR="00584C49" w:rsidRPr="00584C49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Acute Care Hospitals Eligible</w:t>
            </w:r>
          </w:p>
        </w:tc>
        <w:tc>
          <w:tcPr>
            <w:tcW w:w="3780" w:type="dxa"/>
            <w:vAlign w:val="center"/>
          </w:tcPr>
          <w:p w:rsidR="00AB554E" w:rsidRPr="00584C49" w:rsidRDefault="00584C49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50 (81</w:t>
            </w:r>
            <w:r w:rsidR="00AB554E" w:rsidRPr="00584C49">
              <w:rPr>
                <w:rFonts w:ascii="Arial" w:hAnsi="Arial" w:cs="Arial"/>
                <w:bCs/>
                <w:sz w:val="22"/>
                <w:szCs w:val="22"/>
              </w:rPr>
              <w:t>%)</w:t>
            </w:r>
          </w:p>
        </w:tc>
      </w:tr>
      <w:tr w:rsidR="00AB554E" w:rsidRPr="00584C49" w:rsidTr="00AB554E">
        <w:trPr>
          <w:trHeight w:val="216"/>
        </w:trPr>
        <w:tc>
          <w:tcPr>
            <w:tcW w:w="4680" w:type="dxa"/>
            <w:vAlign w:val="center"/>
          </w:tcPr>
          <w:p w:rsidR="00AB554E" w:rsidRPr="00584C49" w:rsidRDefault="00AB554E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Acute Care Hospitals Ineligible</w:t>
            </w:r>
          </w:p>
        </w:tc>
        <w:tc>
          <w:tcPr>
            <w:tcW w:w="3780" w:type="dxa"/>
            <w:vAlign w:val="center"/>
          </w:tcPr>
          <w:p w:rsidR="00AB554E" w:rsidRPr="00584C49" w:rsidRDefault="00584C49" w:rsidP="00AB5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4C49">
              <w:rPr>
                <w:rFonts w:ascii="Arial" w:hAnsi="Arial" w:cs="Arial"/>
                <w:bCs/>
                <w:sz w:val="22"/>
                <w:szCs w:val="22"/>
              </w:rPr>
              <w:t>12 (19</w:t>
            </w:r>
            <w:r w:rsidR="00AB554E" w:rsidRPr="00584C49">
              <w:rPr>
                <w:rFonts w:ascii="Arial" w:hAnsi="Arial" w:cs="Arial"/>
                <w:bCs/>
                <w:sz w:val="22"/>
                <w:szCs w:val="22"/>
              </w:rPr>
              <w:t>%)</w:t>
            </w:r>
          </w:p>
        </w:tc>
      </w:tr>
    </w:tbl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  <w:r w:rsidRPr="00584C49">
        <w:rPr>
          <w:rFonts w:ascii="Arial" w:hAnsi="Arial" w:cs="Arial"/>
          <w:b/>
          <w:bCs/>
          <w:color w:val="E36C0A" w:themeColor="accent6" w:themeShade="BF"/>
        </w:rPr>
        <w:t>Acute Hospitals Eligible to Receive Community Hospital Reinvestment Fund</w:t>
      </w:r>
      <w:r w:rsidR="00AB554E" w:rsidRPr="00584C49">
        <w:rPr>
          <w:rFonts w:ascii="Arial" w:hAnsi="Arial" w:cs="Arial"/>
          <w:b/>
          <w:bCs/>
          <w:color w:val="E36C0A" w:themeColor="accent6" w:themeShade="BF"/>
        </w:rPr>
        <w:t xml:space="preserve"> Payments</w:t>
      </w:r>
    </w:p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</w:p>
    <w:tbl>
      <w:tblPr>
        <w:tblW w:w="8100" w:type="dxa"/>
        <w:tblInd w:w="103" w:type="dxa"/>
        <w:tblLook w:val="04A0" w:firstRow="1" w:lastRow="0" w:firstColumn="1" w:lastColumn="0" w:noHBand="0" w:noVBand="1"/>
      </w:tblPr>
      <w:tblGrid>
        <w:gridCol w:w="6440"/>
        <w:gridCol w:w="1660"/>
      </w:tblGrid>
      <w:tr w:rsidR="00852D83" w:rsidTr="00852D83">
        <w:trPr>
          <w:trHeight w:val="600"/>
          <w:tblHeader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852D8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852D8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2017 S-RP 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Jaques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0.750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Athol Memorial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0.901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Franklin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Noble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0.684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Baystate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Wing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 Israel Deaconess Hospital - Milton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0.763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 Israel Deaconess Hospital - Needham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 Israel Deaconess Hospital - Plymouth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Beth Israel Deaconess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Brigham and Women's Faulkner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Cambridge Health Alliance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0.781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Clinton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Cooley Dickinson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1.068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Emerson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Harrington Memorial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HealthAlliance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Heywood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0.712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Lahey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 and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Lawrence General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0.739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Lowell General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Marlborough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Massachusetts Eye and Ear Infirmary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0.770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MelroseWakefield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Health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0.916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Mercy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0.785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MetroWest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Milford Regional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0.822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Morton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Mount Auburn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Nashoba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Valley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0.952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England Baptist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Newton-Wellesley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1.002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Shore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Northeast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Saint Vincent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Shriners Hospitals for Children - Boston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0.901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Signature Healthcare Brockton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0.798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Shore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Southcoast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Hospitals Group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Steward Carney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0.893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Steward Good Samaritan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0.916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Steward Holy Family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0.873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Steward Norwood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0.919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Steward Saint Anne's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0.955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Steward St. Elizabeth's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1.087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Sturdy Memorial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1.023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Tufts Medical Center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UMass Memorial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1.068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Winchester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0.843</w:t>
            </w:r>
          </w:p>
        </w:tc>
      </w:tr>
    </w:tbl>
    <w:p w:rsidR="00940CB2" w:rsidRPr="00584C49" w:rsidRDefault="00940CB2" w:rsidP="00940CB2">
      <w:pPr>
        <w:rPr>
          <w:rFonts w:ascii="Arial" w:hAnsi="Arial" w:cs="Arial"/>
        </w:rPr>
      </w:pPr>
    </w:p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</w:rPr>
      </w:pPr>
      <w:r w:rsidRPr="00584C49">
        <w:rPr>
          <w:rFonts w:ascii="Arial" w:hAnsi="Arial" w:cs="Arial"/>
          <w:b/>
          <w:bCs/>
          <w:color w:val="E36C0A" w:themeColor="accent6" w:themeShade="BF"/>
        </w:rPr>
        <w:t>Acute Hospitals Ineligible to Receive Community Hospital Reinvestment Fund</w:t>
      </w:r>
      <w:r w:rsidR="00AB554E" w:rsidRPr="00584C49">
        <w:rPr>
          <w:rFonts w:ascii="Arial" w:hAnsi="Arial" w:cs="Arial"/>
          <w:b/>
          <w:bCs/>
          <w:color w:val="E36C0A" w:themeColor="accent6" w:themeShade="BF"/>
        </w:rPr>
        <w:t xml:space="preserve"> Payments</w:t>
      </w:r>
    </w:p>
    <w:p w:rsidR="00940CB2" w:rsidRPr="00584C49" w:rsidRDefault="00940CB2" w:rsidP="00940CB2">
      <w:pPr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</w:pPr>
    </w:p>
    <w:tbl>
      <w:tblPr>
        <w:tblW w:w="8100" w:type="dxa"/>
        <w:tblInd w:w="103" w:type="dxa"/>
        <w:tblLook w:val="04A0" w:firstRow="1" w:lastRow="0" w:firstColumn="1" w:lastColumn="0" w:noHBand="0" w:noVBand="1"/>
      </w:tblPr>
      <w:tblGrid>
        <w:gridCol w:w="6440"/>
        <w:gridCol w:w="1660"/>
      </w:tblGrid>
      <w:tr w:rsidR="00852D83" w:rsidTr="00852D83">
        <w:trPr>
          <w:trHeight w:val="600"/>
          <w:tblHeader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852D8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480"/>
            <w:vAlign w:val="center"/>
            <w:hideMark/>
          </w:tcPr>
          <w:p w:rsidR="00852D83" w:rsidRDefault="00852D8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2017 S-RP 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Boston Children's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1.579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Boston Medical Center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1.152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Brigham and Women's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1.341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Cape Cod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1.304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Dana-Farber Cancer Institute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1.344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Fairview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1.380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Falmouth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1.394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Martha's Vineyard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1.855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Massachusetts General Hospital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1.400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Nantucket Cottage Hospital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1.924</w:t>
            </w:r>
          </w:p>
        </w:tc>
      </w:tr>
      <w:tr w:rsidR="00852D83" w:rsidTr="00852D83">
        <w:trPr>
          <w:trHeight w:val="28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Shriners Hospitals for Children - Springfield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8"/>
            <w:noWrap/>
            <w:vAlign w:val="bottom"/>
            <w:hideMark/>
          </w:tcPr>
          <w:p w:rsidR="00852D83" w:rsidRDefault="0085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1.158</w:t>
            </w:r>
          </w:p>
        </w:tc>
      </w:tr>
    </w:tbl>
    <w:p w:rsidR="006821FE" w:rsidRPr="00584C49" w:rsidRDefault="006821FE" w:rsidP="00AB554E">
      <w:pPr>
        <w:rPr>
          <w:rFonts w:ascii="Arial" w:hAnsi="Arial" w:cs="Arial"/>
        </w:rPr>
      </w:pPr>
    </w:p>
    <w:sectPr w:rsidR="006821FE" w:rsidRPr="00584C49" w:rsidSect="00CA642B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40" w:rsidRDefault="00322240">
      <w:r>
        <w:separator/>
      </w:r>
    </w:p>
  </w:endnote>
  <w:endnote w:type="continuationSeparator" w:id="0">
    <w:p w:rsidR="00322240" w:rsidRDefault="0032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70878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8E5A40" w:rsidRDefault="008E5A40">
        <w:pPr>
          <w:pStyle w:val="Footer"/>
          <w:jc w:val="right"/>
        </w:pPr>
      </w:p>
      <w:p w:rsidR="008E5A40" w:rsidRDefault="008E5A40">
        <w:pPr>
          <w:pStyle w:val="Footer"/>
          <w:jc w:val="right"/>
        </w:pPr>
      </w:p>
      <w:p w:rsidR="005C0871" w:rsidRPr="005C0871" w:rsidRDefault="008E5A40" w:rsidP="008E5A40">
        <w:pPr>
          <w:pStyle w:val="Footer"/>
          <w:jc w:val="right"/>
          <w:rPr>
            <w:sz w:val="22"/>
            <w:szCs w:val="22"/>
          </w:rPr>
        </w:pPr>
        <w:r w:rsidRPr="008E5A40">
          <w:rPr>
            <w:rFonts w:ascii="Arial" w:hAnsi="Arial" w:cs="Arial"/>
            <w:i/>
            <w:sz w:val="18"/>
            <w:szCs w:val="14"/>
          </w:rPr>
          <w:t>Updated July 1, 2019</w:t>
        </w:r>
        <w:r>
          <w:br/>
        </w:r>
        <w:r w:rsidR="005C0871" w:rsidRPr="008E5A40">
          <w:rPr>
            <w:rFonts w:ascii="Arial" w:hAnsi="Arial" w:cs="Arial"/>
            <w:sz w:val="18"/>
            <w:szCs w:val="22"/>
          </w:rPr>
          <w:fldChar w:fldCharType="begin"/>
        </w:r>
        <w:r w:rsidR="005C0871" w:rsidRPr="008E5A40">
          <w:rPr>
            <w:rFonts w:ascii="Arial" w:hAnsi="Arial" w:cs="Arial"/>
            <w:sz w:val="18"/>
            <w:szCs w:val="22"/>
          </w:rPr>
          <w:instrText xml:space="preserve"> PAGE   \* MERGEFORMAT </w:instrText>
        </w:r>
        <w:r w:rsidR="005C0871" w:rsidRPr="008E5A40">
          <w:rPr>
            <w:rFonts w:ascii="Arial" w:hAnsi="Arial" w:cs="Arial"/>
            <w:sz w:val="18"/>
            <w:szCs w:val="22"/>
          </w:rPr>
          <w:fldChar w:fldCharType="separate"/>
        </w:r>
        <w:r>
          <w:rPr>
            <w:rFonts w:ascii="Arial" w:hAnsi="Arial" w:cs="Arial"/>
            <w:noProof/>
            <w:sz w:val="18"/>
            <w:szCs w:val="22"/>
          </w:rPr>
          <w:t>2</w:t>
        </w:r>
        <w:r w:rsidR="005C0871" w:rsidRPr="008E5A40">
          <w:rPr>
            <w:rFonts w:ascii="Arial" w:hAnsi="Arial" w:cs="Arial"/>
            <w:noProof/>
            <w:sz w:val="18"/>
            <w:szCs w:val="22"/>
          </w:rPr>
          <w:fldChar w:fldCharType="end"/>
        </w:r>
      </w:p>
    </w:sdtContent>
  </w:sdt>
  <w:p w:rsidR="003B519B" w:rsidRDefault="003B51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8E5A40" w:rsidRDefault="008A6188" w:rsidP="008E5A40">
    <w:pPr>
      <w:pStyle w:val="Footer"/>
      <w:rPr>
        <w:rFonts w:ascii="Arial" w:hAnsi="Arial" w:cs="Arial"/>
        <w:i/>
        <w:color w:val="00436E"/>
        <w:sz w:val="14"/>
        <w:szCs w:val="14"/>
      </w:rPr>
    </w:pPr>
    <w:r w:rsidRPr="008E5A40">
      <w:rPr>
        <w:rFonts w:ascii="Arial" w:hAnsi="Arial" w:cs="Arial"/>
        <w:i/>
        <w:noProof/>
        <w:sz w:val="18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990BE1" wp14:editId="3E698989">
              <wp:simplePos x="0" y="0"/>
              <wp:positionH relativeFrom="column">
                <wp:posOffset>4313555</wp:posOffset>
              </wp:positionH>
              <wp:positionV relativeFrom="paragraph">
                <wp:posOffset>-523875</wp:posOffset>
              </wp:positionV>
              <wp:extent cx="2374265" cy="1403985"/>
              <wp:effectExtent l="0" t="0" r="3810" b="31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691DF1" w:rsidRPr="00720073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691DF1" w:rsidRPr="001D5DE2" w:rsidRDefault="00691DF1" w:rsidP="00691DF1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Default="000F0CDA" w:rsidP="000F0CDA">
                          <w:pPr>
                            <w:ind w:left="1440"/>
                          </w:pP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 xml:space="preserve">                 </w:t>
                          </w:r>
                          <w:r w:rsidR="00691DF1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691DF1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 w:rsidR="00691DF1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65pt;margin-top:-41.25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DTgHK7iAAAADAEAAA8AAAAAAAAAAAAAAAAAfQQAAGRycy9k&#10;b3ducmV2LnhtbFBLBQYAAAAABAAEAPMAAACMBQAAAAA=&#10;" stroked="f">
              <v:textbox style="mso-fit-shape-to-text:t">
                <w:txbxContent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</w:p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691DF1" w:rsidRPr="00720073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691DF1" w:rsidRPr="001D5DE2" w:rsidRDefault="00691DF1" w:rsidP="00691DF1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Default="000F0CDA" w:rsidP="000F0CDA">
                    <w:pPr>
                      <w:ind w:left="1440"/>
                    </w:pP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 xml:space="preserve">                 </w:t>
                    </w:r>
                    <w:r w:rsidR="00691DF1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691DF1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 w:rsidR="00691DF1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</w:txbxContent>
              </v:textbox>
            </v:shape>
          </w:pict>
        </mc:Fallback>
      </mc:AlternateContent>
    </w:r>
    <w:r w:rsidR="008E5A40" w:rsidRPr="008E5A40">
      <w:rPr>
        <w:rFonts w:ascii="Arial" w:hAnsi="Arial" w:cs="Arial"/>
        <w:i/>
        <w:sz w:val="18"/>
        <w:szCs w:val="14"/>
      </w:rPr>
      <w:t>Updated July 1, 2019</w: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40" w:rsidRDefault="00322240">
      <w:r>
        <w:separator/>
      </w:r>
    </w:p>
  </w:footnote>
  <w:footnote w:type="continuationSeparator" w:id="0">
    <w:p w:rsidR="00322240" w:rsidRDefault="0032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6704" behindDoc="1" locked="1" layoutInCell="1" allowOverlap="1" wp14:anchorId="4E1D1CAC" wp14:editId="4DE1DC5C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3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C53"/>
    <w:multiLevelType w:val="hybridMultilevel"/>
    <w:tmpl w:val="9074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00DE"/>
    <w:multiLevelType w:val="hybridMultilevel"/>
    <w:tmpl w:val="C19A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73A87"/>
    <w:multiLevelType w:val="hybridMultilevel"/>
    <w:tmpl w:val="0EE845E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C96136D"/>
    <w:multiLevelType w:val="hybridMultilevel"/>
    <w:tmpl w:val="6AAE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E4716"/>
    <w:multiLevelType w:val="hybridMultilevel"/>
    <w:tmpl w:val="C176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02908"/>
    <w:multiLevelType w:val="hybridMultilevel"/>
    <w:tmpl w:val="CA2E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8261B"/>
    <w:multiLevelType w:val="hybridMultilevel"/>
    <w:tmpl w:val="027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F2230"/>
    <w:multiLevelType w:val="hybridMultilevel"/>
    <w:tmpl w:val="82F4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936C2"/>
    <w:multiLevelType w:val="hybridMultilevel"/>
    <w:tmpl w:val="F176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20A46"/>
    <w:multiLevelType w:val="hybridMultilevel"/>
    <w:tmpl w:val="14CEA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C0CDD"/>
    <w:multiLevelType w:val="hybridMultilevel"/>
    <w:tmpl w:val="4AD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32532"/>
    <w:multiLevelType w:val="hybridMultilevel"/>
    <w:tmpl w:val="D6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12B37"/>
    <w:multiLevelType w:val="hybridMultilevel"/>
    <w:tmpl w:val="BDACE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3523"/>
    <w:multiLevelType w:val="hybridMultilevel"/>
    <w:tmpl w:val="2EE2E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11039"/>
    <w:multiLevelType w:val="hybridMultilevel"/>
    <w:tmpl w:val="0E74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F1D1A"/>
    <w:multiLevelType w:val="hybridMultilevel"/>
    <w:tmpl w:val="C2BC2B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2420713"/>
    <w:multiLevelType w:val="hybridMultilevel"/>
    <w:tmpl w:val="3A32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D11F0"/>
    <w:multiLevelType w:val="hybridMultilevel"/>
    <w:tmpl w:val="9C4A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D588F"/>
    <w:multiLevelType w:val="hybridMultilevel"/>
    <w:tmpl w:val="D374BF28"/>
    <w:lvl w:ilvl="0" w:tplc="08061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E5AE9"/>
    <w:multiLevelType w:val="hybridMultilevel"/>
    <w:tmpl w:val="D6203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7188D"/>
    <w:multiLevelType w:val="hybridMultilevel"/>
    <w:tmpl w:val="54FE0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538A3"/>
    <w:multiLevelType w:val="hybridMultilevel"/>
    <w:tmpl w:val="144C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E35CF"/>
    <w:multiLevelType w:val="hybridMultilevel"/>
    <w:tmpl w:val="F5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E78D9"/>
    <w:multiLevelType w:val="hybridMultilevel"/>
    <w:tmpl w:val="FE28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00320"/>
    <w:multiLevelType w:val="hybridMultilevel"/>
    <w:tmpl w:val="19288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14AB3"/>
    <w:multiLevelType w:val="hybridMultilevel"/>
    <w:tmpl w:val="17C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3"/>
  </w:num>
  <w:num w:numId="5">
    <w:abstractNumId w:val="0"/>
  </w:num>
  <w:num w:numId="6">
    <w:abstractNumId w:val="18"/>
  </w:num>
  <w:num w:numId="7">
    <w:abstractNumId w:val="22"/>
  </w:num>
  <w:num w:numId="8">
    <w:abstractNumId w:val="16"/>
  </w:num>
  <w:num w:numId="9">
    <w:abstractNumId w:val="1"/>
  </w:num>
  <w:num w:numId="10">
    <w:abstractNumId w:val="8"/>
  </w:num>
  <w:num w:numId="11">
    <w:abstractNumId w:val="10"/>
  </w:num>
  <w:num w:numId="12">
    <w:abstractNumId w:val="15"/>
  </w:num>
  <w:num w:numId="13">
    <w:abstractNumId w:val="25"/>
  </w:num>
  <w:num w:numId="14">
    <w:abstractNumId w:val="6"/>
  </w:num>
  <w:num w:numId="15">
    <w:abstractNumId w:val="13"/>
  </w:num>
  <w:num w:numId="16">
    <w:abstractNumId w:val="24"/>
  </w:num>
  <w:num w:numId="17">
    <w:abstractNumId w:val="20"/>
  </w:num>
  <w:num w:numId="18">
    <w:abstractNumId w:val="12"/>
  </w:num>
  <w:num w:numId="19">
    <w:abstractNumId w:val="11"/>
  </w:num>
  <w:num w:numId="20">
    <w:abstractNumId w:val="21"/>
  </w:num>
  <w:num w:numId="21">
    <w:abstractNumId w:val="7"/>
  </w:num>
  <w:num w:numId="22">
    <w:abstractNumId w:val="3"/>
  </w:num>
  <w:num w:numId="23">
    <w:abstractNumId w:val="5"/>
  </w:num>
  <w:num w:numId="24">
    <w:abstractNumId w:val="19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F1"/>
    <w:rsid w:val="0001438F"/>
    <w:rsid w:val="00024E06"/>
    <w:rsid w:val="00025F26"/>
    <w:rsid w:val="00027561"/>
    <w:rsid w:val="00027FB2"/>
    <w:rsid w:val="00032029"/>
    <w:rsid w:val="00054900"/>
    <w:rsid w:val="000652EC"/>
    <w:rsid w:val="000675E6"/>
    <w:rsid w:val="00070B68"/>
    <w:rsid w:val="000760F2"/>
    <w:rsid w:val="0009279B"/>
    <w:rsid w:val="000A6DDF"/>
    <w:rsid w:val="000B526A"/>
    <w:rsid w:val="000C57A7"/>
    <w:rsid w:val="000E1797"/>
    <w:rsid w:val="000E7D8F"/>
    <w:rsid w:val="000F0CDA"/>
    <w:rsid w:val="00111960"/>
    <w:rsid w:val="00125B6D"/>
    <w:rsid w:val="0014383A"/>
    <w:rsid w:val="00143DAD"/>
    <w:rsid w:val="0015062F"/>
    <w:rsid w:val="00157D96"/>
    <w:rsid w:val="0016701D"/>
    <w:rsid w:val="00175D16"/>
    <w:rsid w:val="00184EFD"/>
    <w:rsid w:val="00185CF4"/>
    <w:rsid w:val="00194E67"/>
    <w:rsid w:val="001A05D0"/>
    <w:rsid w:val="001A4EA7"/>
    <w:rsid w:val="001D1B54"/>
    <w:rsid w:val="001D2B05"/>
    <w:rsid w:val="001D5008"/>
    <w:rsid w:val="001D5DE2"/>
    <w:rsid w:val="001E70E4"/>
    <w:rsid w:val="001F36BB"/>
    <w:rsid w:val="001F4E2A"/>
    <w:rsid w:val="00212F94"/>
    <w:rsid w:val="0021721D"/>
    <w:rsid w:val="00231164"/>
    <w:rsid w:val="00232E74"/>
    <w:rsid w:val="0023473A"/>
    <w:rsid w:val="00251596"/>
    <w:rsid w:val="0027141A"/>
    <w:rsid w:val="00276EBE"/>
    <w:rsid w:val="00281E3B"/>
    <w:rsid w:val="00286081"/>
    <w:rsid w:val="00292D26"/>
    <w:rsid w:val="00296094"/>
    <w:rsid w:val="00297360"/>
    <w:rsid w:val="002A2355"/>
    <w:rsid w:val="002B2861"/>
    <w:rsid w:val="002B43B1"/>
    <w:rsid w:val="002C5A5B"/>
    <w:rsid w:val="003055DF"/>
    <w:rsid w:val="00313029"/>
    <w:rsid w:val="00322240"/>
    <w:rsid w:val="00323F89"/>
    <w:rsid w:val="0033230B"/>
    <w:rsid w:val="00340D34"/>
    <w:rsid w:val="00341C67"/>
    <w:rsid w:val="0034292E"/>
    <w:rsid w:val="0035075D"/>
    <w:rsid w:val="00374E54"/>
    <w:rsid w:val="00377D97"/>
    <w:rsid w:val="00391C29"/>
    <w:rsid w:val="00396A0D"/>
    <w:rsid w:val="003B519B"/>
    <w:rsid w:val="003C3C0C"/>
    <w:rsid w:val="003C6388"/>
    <w:rsid w:val="003E43D4"/>
    <w:rsid w:val="003E6BFA"/>
    <w:rsid w:val="003F2503"/>
    <w:rsid w:val="003F559C"/>
    <w:rsid w:val="00410630"/>
    <w:rsid w:val="00412A62"/>
    <w:rsid w:val="0043025D"/>
    <w:rsid w:val="00430634"/>
    <w:rsid w:val="004306E1"/>
    <w:rsid w:val="0044505C"/>
    <w:rsid w:val="00453EB0"/>
    <w:rsid w:val="00461AEA"/>
    <w:rsid w:val="004A0709"/>
    <w:rsid w:val="004A76A4"/>
    <w:rsid w:val="004A7C72"/>
    <w:rsid w:val="004B1FC0"/>
    <w:rsid w:val="004B3347"/>
    <w:rsid w:val="004E6A71"/>
    <w:rsid w:val="00504DDA"/>
    <w:rsid w:val="0050661B"/>
    <w:rsid w:val="00511D46"/>
    <w:rsid w:val="005151D7"/>
    <w:rsid w:val="00521921"/>
    <w:rsid w:val="00524B06"/>
    <w:rsid w:val="0053099B"/>
    <w:rsid w:val="00534F0A"/>
    <w:rsid w:val="00535CF5"/>
    <w:rsid w:val="005625F2"/>
    <w:rsid w:val="00581E26"/>
    <w:rsid w:val="005820B2"/>
    <w:rsid w:val="005844DB"/>
    <w:rsid w:val="00584BE8"/>
    <w:rsid w:val="00584C49"/>
    <w:rsid w:val="005A0E78"/>
    <w:rsid w:val="005A25DA"/>
    <w:rsid w:val="005A7AEC"/>
    <w:rsid w:val="005B6063"/>
    <w:rsid w:val="005B644F"/>
    <w:rsid w:val="005C0871"/>
    <w:rsid w:val="005C6AB0"/>
    <w:rsid w:val="005D1770"/>
    <w:rsid w:val="005E0BE8"/>
    <w:rsid w:val="00600DDA"/>
    <w:rsid w:val="00610C66"/>
    <w:rsid w:val="006213C5"/>
    <w:rsid w:val="00624C93"/>
    <w:rsid w:val="0062528D"/>
    <w:rsid w:val="006400C4"/>
    <w:rsid w:val="00641EF8"/>
    <w:rsid w:val="00650068"/>
    <w:rsid w:val="0065609E"/>
    <w:rsid w:val="00676FC8"/>
    <w:rsid w:val="006821FE"/>
    <w:rsid w:val="006866EF"/>
    <w:rsid w:val="00691DF1"/>
    <w:rsid w:val="00692109"/>
    <w:rsid w:val="006A5B39"/>
    <w:rsid w:val="006B240C"/>
    <w:rsid w:val="006B50D9"/>
    <w:rsid w:val="006C508E"/>
    <w:rsid w:val="006D19FC"/>
    <w:rsid w:val="006D2A47"/>
    <w:rsid w:val="006F7C72"/>
    <w:rsid w:val="00703E8E"/>
    <w:rsid w:val="0070730F"/>
    <w:rsid w:val="00714748"/>
    <w:rsid w:val="00720073"/>
    <w:rsid w:val="00737A11"/>
    <w:rsid w:val="00774244"/>
    <w:rsid w:val="00776702"/>
    <w:rsid w:val="007773B8"/>
    <w:rsid w:val="0077757B"/>
    <w:rsid w:val="00794F60"/>
    <w:rsid w:val="007969D1"/>
    <w:rsid w:val="007A6511"/>
    <w:rsid w:val="007D5234"/>
    <w:rsid w:val="007D5703"/>
    <w:rsid w:val="007E4C68"/>
    <w:rsid w:val="007F25A6"/>
    <w:rsid w:val="00800542"/>
    <w:rsid w:val="00801E8E"/>
    <w:rsid w:val="00812F3B"/>
    <w:rsid w:val="0083000E"/>
    <w:rsid w:val="00830B40"/>
    <w:rsid w:val="008354AC"/>
    <w:rsid w:val="00835AA6"/>
    <w:rsid w:val="00847F9C"/>
    <w:rsid w:val="00852D83"/>
    <w:rsid w:val="00866E53"/>
    <w:rsid w:val="0089641B"/>
    <w:rsid w:val="008A6188"/>
    <w:rsid w:val="008C0755"/>
    <w:rsid w:val="008D32EF"/>
    <w:rsid w:val="008E4310"/>
    <w:rsid w:val="008E4AF5"/>
    <w:rsid w:val="008E5A40"/>
    <w:rsid w:val="008E64B8"/>
    <w:rsid w:val="008F7FC5"/>
    <w:rsid w:val="009024C9"/>
    <w:rsid w:val="00920B50"/>
    <w:rsid w:val="009316F6"/>
    <w:rsid w:val="0093627D"/>
    <w:rsid w:val="009365E8"/>
    <w:rsid w:val="00940CB2"/>
    <w:rsid w:val="00954011"/>
    <w:rsid w:val="00956F12"/>
    <w:rsid w:val="009723E3"/>
    <w:rsid w:val="00972584"/>
    <w:rsid w:val="00982E6E"/>
    <w:rsid w:val="009958C8"/>
    <w:rsid w:val="009B5467"/>
    <w:rsid w:val="009B588D"/>
    <w:rsid w:val="009C12CE"/>
    <w:rsid w:val="009C34F3"/>
    <w:rsid w:val="009D708C"/>
    <w:rsid w:val="009F0098"/>
    <w:rsid w:val="009F6F69"/>
    <w:rsid w:val="009F7DE7"/>
    <w:rsid w:val="00A24B06"/>
    <w:rsid w:val="00A25035"/>
    <w:rsid w:val="00A34BAE"/>
    <w:rsid w:val="00A36DE3"/>
    <w:rsid w:val="00A45FA7"/>
    <w:rsid w:val="00A743EF"/>
    <w:rsid w:val="00A84FA8"/>
    <w:rsid w:val="00A85C40"/>
    <w:rsid w:val="00AB4DED"/>
    <w:rsid w:val="00AB554E"/>
    <w:rsid w:val="00AC23F2"/>
    <w:rsid w:val="00AD091F"/>
    <w:rsid w:val="00AE667E"/>
    <w:rsid w:val="00B40736"/>
    <w:rsid w:val="00B411C5"/>
    <w:rsid w:val="00B41AD9"/>
    <w:rsid w:val="00B4407A"/>
    <w:rsid w:val="00B4761E"/>
    <w:rsid w:val="00B54928"/>
    <w:rsid w:val="00B57C17"/>
    <w:rsid w:val="00B71A01"/>
    <w:rsid w:val="00B7297F"/>
    <w:rsid w:val="00B73CB4"/>
    <w:rsid w:val="00B91831"/>
    <w:rsid w:val="00BF6C61"/>
    <w:rsid w:val="00C06274"/>
    <w:rsid w:val="00C12D14"/>
    <w:rsid w:val="00C26F4B"/>
    <w:rsid w:val="00C27026"/>
    <w:rsid w:val="00C46036"/>
    <w:rsid w:val="00C51B1E"/>
    <w:rsid w:val="00C5450E"/>
    <w:rsid w:val="00C56747"/>
    <w:rsid w:val="00C56D27"/>
    <w:rsid w:val="00C57938"/>
    <w:rsid w:val="00C60C33"/>
    <w:rsid w:val="00C63879"/>
    <w:rsid w:val="00C7555C"/>
    <w:rsid w:val="00C80BAD"/>
    <w:rsid w:val="00C83A6C"/>
    <w:rsid w:val="00C85694"/>
    <w:rsid w:val="00C87327"/>
    <w:rsid w:val="00C9468A"/>
    <w:rsid w:val="00CA642B"/>
    <w:rsid w:val="00CB4E3B"/>
    <w:rsid w:val="00CB794E"/>
    <w:rsid w:val="00CC0CD1"/>
    <w:rsid w:val="00CD4215"/>
    <w:rsid w:val="00CD7FDA"/>
    <w:rsid w:val="00D13C7F"/>
    <w:rsid w:val="00D3451B"/>
    <w:rsid w:val="00D565D0"/>
    <w:rsid w:val="00D70715"/>
    <w:rsid w:val="00D730C4"/>
    <w:rsid w:val="00D73CDB"/>
    <w:rsid w:val="00D929A1"/>
    <w:rsid w:val="00D938A3"/>
    <w:rsid w:val="00DA540F"/>
    <w:rsid w:val="00DA5DCC"/>
    <w:rsid w:val="00DB33B5"/>
    <w:rsid w:val="00DB6DA3"/>
    <w:rsid w:val="00DC0B9F"/>
    <w:rsid w:val="00DC0D61"/>
    <w:rsid w:val="00DD1982"/>
    <w:rsid w:val="00DD32F8"/>
    <w:rsid w:val="00DE1F5A"/>
    <w:rsid w:val="00E033D3"/>
    <w:rsid w:val="00E2721C"/>
    <w:rsid w:val="00E71D46"/>
    <w:rsid w:val="00E727C0"/>
    <w:rsid w:val="00E818E7"/>
    <w:rsid w:val="00EA3140"/>
    <w:rsid w:val="00EC7ABC"/>
    <w:rsid w:val="00ED6614"/>
    <w:rsid w:val="00EE0D0B"/>
    <w:rsid w:val="00EE1195"/>
    <w:rsid w:val="00EE503F"/>
    <w:rsid w:val="00EF20D7"/>
    <w:rsid w:val="00EF443E"/>
    <w:rsid w:val="00F00D81"/>
    <w:rsid w:val="00F043BC"/>
    <w:rsid w:val="00F225B1"/>
    <w:rsid w:val="00F57202"/>
    <w:rsid w:val="00F61191"/>
    <w:rsid w:val="00F62135"/>
    <w:rsid w:val="00F63E40"/>
    <w:rsid w:val="00F81CE9"/>
    <w:rsid w:val="00F86A64"/>
    <w:rsid w:val="00F90075"/>
    <w:rsid w:val="00F918B9"/>
    <w:rsid w:val="00FA1492"/>
    <w:rsid w:val="00FB2C85"/>
    <w:rsid w:val="00FC3972"/>
    <w:rsid w:val="00FC528D"/>
    <w:rsid w:val="00FD50DF"/>
    <w:rsid w:val="00FD7C96"/>
    <w:rsid w:val="00FE07F2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1A05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91D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CE9"/>
    <w:pPr>
      <w:ind w:left="720"/>
      <w:contextualSpacing/>
    </w:pPr>
  </w:style>
  <w:style w:type="table" w:styleId="TableGrid">
    <w:name w:val="Table Grid"/>
    <w:basedOn w:val="TableNormal"/>
    <w:uiPriority w:val="59"/>
    <w:rsid w:val="00CA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3202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032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FD7C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C96"/>
  </w:style>
  <w:style w:type="character" w:styleId="FootnoteReference">
    <w:name w:val="footnote reference"/>
    <w:basedOn w:val="DefaultParagraphFont"/>
    <w:uiPriority w:val="99"/>
    <w:semiHidden/>
    <w:unhideWhenUsed/>
    <w:rsid w:val="00FD7C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2A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1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1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6AB0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CB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1A05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91D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CE9"/>
    <w:pPr>
      <w:ind w:left="720"/>
      <w:contextualSpacing/>
    </w:pPr>
  </w:style>
  <w:style w:type="table" w:styleId="TableGrid">
    <w:name w:val="Table Grid"/>
    <w:basedOn w:val="TableNormal"/>
    <w:uiPriority w:val="59"/>
    <w:rsid w:val="00CA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3202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03202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FD7C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C96"/>
  </w:style>
  <w:style w:type="character" w:styleId="FootnoteReference">
    <w:name w:val="footnote reference"/>
    <w:basedOn w:val="DefaultParagraphFont"/>
    <w:uiPriority w:val="99"/>
    <w:semiHidden/>
    <w:unhideWhenUsed/>
    <w:rsid w:val="00FD7C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2A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1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1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6AB0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CB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F43A-7425-4C1F-A007-5D991D18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2635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Lai, Po-Yu</dc:creator>
  <cp:lastModifiedBy>Andrew Jackmauh</cp:lastModifiedBy>
  <cp:revision>2</cp:revision>
  <cp:lastPrinted>2019-01-08T16:43:00Z</cp:lastPrinted>
  <dcterms:created xsi:type="dcterms:W3CDTF">2019-07-01T15:26:00Z</dcterms:created>
  <dcterms:modified xsi:type="dcterms:W3CDTF">2019-07-01T15:26:00Z</dcterms:modified>
</cp:coreProperties>
</file>