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5301" w14:textId="26B0CCF0" w:rsidR="000C56F2" w:rsidRDefault="006D7257" w:rsidP="000C56F2">
      <w:pPr>
        <w:rPr>
          <w:b/>
          <w:bCs/>
          <w:sz w:val="24"/>
          <w:szCs w:val="24"/>
        </w:rPr>
      </w:pPr>
      <w:r w:rsidRPr="006D7257">
        <w:rPr>
          <w:b/>
          <w:bCs/>
          <w:sz w:val="24"/>
          <w:szCs w:val="24"/>
        </w:rPr>
        <w:t>Updated Methodology for Grossing Up Reported TME-APM Commercial Partial Expenditures</w:t>
      </w:r>
    </w:p>
    <w:p w14:paraId="67B2D81F" w14:textId="7C396073" w:rsidR="006D7257" w:rsidRPr="006D7257" w:rsidRDefault="006D7257" w:rsidP="000C56F2">
      <w:pPr>
        <w:rPr>
          <w:sz w:val="24"/>
          <w:szCs w:val="24"/>
        </w:rPr>
      </w:pPr>
      <w:r>
        <w:rPr>
          <w:sz w:val="24"/>
          <w:szCs w:val="24"/>
        </w:rPr>
        <w:t>July 2021</w:t>
      </w:r>
    </w:p>
    <w:p w14:paraId="277A22BA" w14:textId="098841F2" w:rsidR="00B316EC" w:rsidRPr="000C56F2" w:rsidRDefault="00B316EC" w:rsidP="00B316EC">
      <w:pPr>
        <w:pStyle w:val="ListParagraph"/>
        <w:numPr>
          <w:ilvl w:val="0"/>
          <w:numId w:val="1"/>
        </w:numPr>
        <w:rPr>
          <w:rFonts w:cstheme="minorHAnsi"/>
          <w:b/>
          <w:bCs/>
          <w:sz w:val="24"/>
          <w:szCs w:val="24"/>
        </w:rPr>
      </w:pPr>
      <w:r w:rsidRPr="000C56F2">
        <w:rPr>
          <w:rFonts w:cstheme="minorHAnsi"/>
          <w:b/>
          <w:bCs/>
          <w:sz w:val="24"/>
          <w:szCs w:val="24"/>
        </w:rPr>
        <w:t>Background of Commercial Partial Gross Up Calculation</w:t>
      </w:r>
    </w:p>
    <w:p w14:paraId="7F3B7E27" w14:textId="179AC30E" w:rsidR="006D7257" w:rsidRDefault="00D4594F">
      <w:pPr>
        <w:rPr>
          <w:rFonts w:cstheme="minorHAnsi"/>
          <w:sz w:val="24"/>
          <w:szCs w:val="24"/>
        </w:rPr>
      </w:pPr>
      <w:r w:rsidRPr="000C56F2">
        <w:rPr>
          <w:rFonts w:cstheme="minorHAnsi"/>
          <w:sz w:val="24"/>
          <w:szCs w:val="24"/>
        </w:rPr>
        <w:t xml:space="preserve">In the </w:t>
      </w:r>
      <w:r w:rsidR="006D7257">
        <w:rPr>
          <w:rFonts w:cstheme="minorHAnsi"/>
          <w:sz w:val="24"/>
          <w:szCs w:val="24"/>
        </w:rPr>
        <w:t>Total Medical Expenditures and Alternative Payment Methods (</w:t>
      </w:r>
      <w:r w:rsidRPr="000C56F2">
        <w:rPr>
          <w:rFonts w:cstheme="minorHAnsi"/>
          <w:sz w:val="24"/>
          <w:szCs w:val="24"/>
        </w:rPr>
        <w:t>TME-APM</w:t>
      </w:r>
      <w:r w:rsidR="006D7257">
        <w:rPr>
          <w:rFonts w:cstheme="minorHAnsi"/>
          <w:sz w:val="24"/>
          <w:szCs w:val="24"/>
        </w:rPr>
        <w:t>)</w:t>
      </w:r>
      <w:r w:rsidRPr="000C56F2">
        <w:rPr>
          <w:rFonts w:cstheme="minorHAnsi"/>
          <w:sz w:val="24"/>
          <w:szCs w:val="24"/>
        </w:rPr>
        <w:t xml:space="preserve"> data submission, insurers report commercial business as either 1) Commercial Full Claims or 2) Commercial Partial Claims. Commercial self-insured or fully insured data for physicians’ groups or zip codes for which the payer is able to collect information on all direct medical claims and subcarrier claims is reported in the “</w:t>
      </w:r>
      <w:r w:rsidR="006D7257">
        <w:rPr>
          <w:rFonts w:cstheme="minorHAnsi"/>
          <w:sz w:val="24"/>
          <w:szCs w:val="24"/>
        </w:rPr>
        <w:t>f</w:t>
      </w:r>
      <w:r w:rsidRPr="000C56F2">
        <w:rPr>
          <w:rFonts w:cstheme="minorHAnsi"/>
          <w:sz w:val="24"/>
          <w:szCs w:val="24"/>
        </w:rPr>
        <w:t xml:space="preserve">ull </w:t>
      </w:r>
      <w:r w:rsidR="006D7257">
        <w:rPr>
          <w:rFonts w:cstheme="minorHAnsi"/>
          <w:sz w:val="24"/>
          <w:szCs w:val="24"/>
        </w:rPr>
        <w:t>c</w:t>
      </w:r>
      <w:r w:rsidRPr="000C56F2">
        <w:rPr>
          <w:rFonts w:cstheme="minorHAnsi"/>
          <w:sz w:val="24"/>
          <w:szCs w:val="24"/>
        </w:rPr>
        <w:t>laims” category. Commercial data that does not include all medical and subcarrier claims should be reported in the “</w:t>
      </w:r>
      <w:r w:rsidR="006D7257">
        <w:rPr>
          <w:rFonts w:cstheme="minorHAnsi"/>
          <w:sz w:val="24"/>
          <w:szCs w:val="24"/>
        </w:rPr>
        <w:t>p</w:t>
      </w:r>
      <w:r w:rsidRPr="000C56F2">
        <w:rPr>
          <w:rFonts w:cstheme="minorHAnsi"/>
          <w:sz w:val="24"/>
          <w:szCs w:val="24"/>
        </w:rPr>
        <w:t xml:space="preserve">artial </w:t>
      </w:r>
      <w:r w:rsidR="006D7257">
        <w:rPr>
          <w:rFonts w:cstheme="minorHAnsi"/>
          <w:sz w:val="24"/>
          <w:szCs w:val="24"/>
        </w:rPr>
        <w:t>c</w:t>
      </w:r>
      <w:r w:rsidRPr="000C56F2">
        <w:rPr>
          <w:rFonts w:cstheme="minorHAnsi"/>
          <w:sz w:val="24"/>
          <w:szCs w:val="24"/>
        </w:rPr>
        <w:t xml:space="preserve">laims” category. Commercial </w:t>
      </w:r>
      <w:r w:rsidR="006D7257">
        <w:rPr>
          <w:rFonts w:cstheme="minorHAnsi"/>
          <w:sz w:val="24"/>
          <w:szCs w:val="24"/>
        </w:rPr>
        <w:t>p</w:t>
      </w:r>
      <w:r w:rsidRPr="000C56F2">
        <w:rPr>
          <w:rFonts w:cstheme="minorHAnsi"/>
          <w:sz w:val="24"/>
          <w:szCs w:val="24"/>
        </w:rPr>
        <w:t xml:space="preserve">artial </w:t>
      </w:r>
      <w:r w:rsidR="006D7257">
        <w:rPr>
          <w:rFonts w:cstheme="minorHAnsi"/>
          <w:sz w:val="24"/>
          <w:szCs w:val="24"/>
        </w:rPr>
        <w:t>c</w:t>
      </w:r>
      <w:r w:rsidRPr="000C56F2">
        <w:rPr>
          <w:rFonts w:cstheme="minorHAnsi"/>
          <w:sz w:val="24"/>
          <w:szCs w:val="24"/>
        </w:rPr>
        <w:t>laims indicates that certain services are “carved-out”</w:t>
      </w:r>
      <w:r w:rsidR="00E1476C">
        <w:rPr>
          <w:rFonts w:cstheme="minorHAnsi"/>
          <w:sz w:val="24"/>
          <w:szCs w:val="24"/>
        </w:rPr>
        <w:t xml:space="preserve"> of the contract between the insurer and the purchaser</w:t>
      </w:r>
      <w:r w:rsidRPr="000C56F2">
        <w:rPr>
          <w:rFonts w:cstheme="minorHAnsi"/>
          <w:sz w:val="24"/>
          <w:szCs w:val="24"/>
        </w:rPr>
        <w:t xml:space="preserve">, most commonly pharmacy and/or behavioral health services. </w:t>
      </w:r>
    </w:p>
    <w:p w14:paraId="11F0268E" w14:textId="1C6B1417" w:rsidR="006D7257" w:rsidRPr="000C56F2" w:rsidRDefault="006D7257">
      <w:pPr>
        <w:rPr>
          <w:rFonts w:cstheme="minorHAnsi"/>
          <w:sz w:val="24"/>
          <w:szCs w:val="24"/>
        </w:rPr>
      </w:pPr>
      <w:r w:rsidRPr="000C56F2">
        <w:rPr>
          <w:rFonts w:cstheme="minorHAnsi"/>
          <w:sz w:val="24"/>
          <w:szCs w:val="24"/>
        </w:rPr>
        <w:t xml:space="preserve">To capture the full spending of the </w:t>
      </w:r>
      <w:r>
        <w:rPr>
          <w:rFonts w:cstheme="minorHAnsi"/>
          <w:sz w:val="24"/>
          <w:szCs w:val="24"/>
        </w:rPr>
        <w:t>c</w:t>
      </w:r>
      <w:r w:rsidRPr="000C56F2">
        <w:rPr>
          <w:rFonts w:cstheme="minorHAnsi"/>
          <w:sz w:val="24"/>
          <w:szCs w:val="24"/>
        </w:rPr>
        <w:t xml:space="preserve">ommercial </w:t>
      </w:r>
      <w:r>
        <w:rPr>
          <w:rFonts w:cstheme="minorHAnsi"/>
          <w:sz w:val="24"/>
          <w:szCs w:val="24"/>
        </w:rPr>
        <w:t>p</w:t>
      </w:r>
      <w:r w:rsidRPr="000C56F2">
        <w:rPr>
          <w:rFonts w:cstheme="minorHAnsi"/>
          <w:sz w:val="24"/>
          <w:szCs w:val="24"/>
        </w:rPr>
        <w:t>artial population, CHIA performs a calculation to gross up the claims to represent the full claim amount.</w:t>
      </w:r>
      <w:r>
        <w:rPr>
          <w:rFonts w:cstheme="minorHAnsi"/>
          <w:sz w:val="24"/>
          <w:szCs w:val="24"/>
        </w:rPr>
        <w:t xml:space="preserve"> These adjusted expenditures are included in the Commercial component of CHIA’s Total Health Care Expenditures (THCE) calculation.</w:t>
      </w:r>
    </w:p>
    <w:p w14:paraId="38DDF987" w14:textId="67450EF8" w:rsidR="00B316EC" w:rsidRPr="000C56F2" w:rsidRDefault="00B316EC" w:rsidP="00B316EC">
      <w:pPr>
        <w:pStyle w:val="ListParagraph"/>
        <w:numPr>
          <w:ilvl w:val="0"/>
          <w:numId w:val="1"/>
        </w:numPr>
        <w:rPr>
          <w:rFonts w:cstheme="minorHAnsi"/>
          <w:b/>
          <w:bCs/>
          <w:sz w:val="24"/>
          <w:szCs w:val="24"/>
        </w:rPr>
      </w:pPr>
      <w:r w:rsidRPr="000C56F2">
        <w:rPr>
          <w:rFonts w:cstheme="minorHAnsi"/>
          <w:b/>
          <w:bCs/>
          <w:sz w:val="24"/>
          <w:szCs w:val="24"/>
        </w:rPr>
        <w:t>Current Methodology Overview</w:t>
      </w:r>
    </w:p>
    <w:p w14:paraId="5766276D" w14:textId="72552471" w:rsidR="00B316EC" w:rsidRPr="000C56F2" w:rsidRDefault="00D32097">
      <w:pPr>
        <w:rPr>
          <w:rFonts w:cstheme="minorHAnsi"/>
          <w:sz w:val="24"/>
          <w:szCs w:val="24"/>
        </w:rPr>
      </w:pPr>
      <w:r w:rsidRPr="000C56F2">
        <w:rPr>
          <w:rFonts w:cstheme="minorHAnsi"/>
          <w:sz w:val="24"/>
          <w:szCs w:val="24"/>
        </w:rPr>
        <w:t>In the</w:t>
      </w:r>
      <w:r w:rsidR="006D7257">
        <w:rPr>
          <w:rFonts w:cstheme="minorHAnsi"/>
          <w:sz w:val="24"/>
          <w:szCs w:val="24"/>
        </w:rPr>
        <w:t xml:space="preserve"> </w:t>
      </w:r>
      <w:r w:rsidRPr="000C56F2">
        <w:rPr>
          <w:rFonts w:cstheme="minorHAnsi"/>
          <w:sz w:val="24"/>
          <w:szCs w:val="24"/>
        </w:rPr>
        <w:t>methodology used in previous reporting cycles</w:t>
      </w:r>
      <w:r w:rsidR="006D7257">
        <w:rPr>
          <w:rFonts w:cstheme="minorHAnsi"/>
          <w:sz w:val="24"/>
          <w:szCs w:val="24"/>
        </w:rPr>
        <w:t xml:space="preserve"> to estimate the full spending of the reported partial population</w:t>
      </w:r>
      <w:r w:rsidRPr="000C56F2">
        <w:rPr>
          <w:rFonts w:cstheme="minorHAnsi"/>
          <w:sz w:val="24"/>
          <w:szCs w:val="24"/>
        </w:rPr>
        <w:t xml:space="preserve">, CHIA </w:t>
      </w:r>
      <w:r w:rsidR="00B316EC" w:rsidRPr="000C56F2">
        <w:rPr>
          <w:rFonts w:cstheme="minorHAnsi"/>
          <w:sz w:val="24"/>
          <w:szCs w:val="24"/>
        </w:rPr>
        <w:t>has relied</w:t>
      </w:r>
      <w:r w:rsidRPr="000C56F2">
        <w:rPr>
          <w:rFonts w:cstheme="minorHAnsi"/>
          <w:sz w:val="24"/>
          <w:szCs w:val="24"/>
        </w:rPr>
        <w:t xml:space="preserve"> </w:t>
      </w:r>
      <w:r w:rsidR="00D4594F" w:rsidRPr="000C56F2">
        <w:rPr>
          <w:rFonts w:cstheme="minorHAnsi"/>
          <w:sz w:val="24"/>
          <w:szCs w:val="24"/>
        </w:rPr>
        <w:t>on comparing the risk adjusted full claims to the partial claims by service category</w:t>
      </w:r>
      <w:r w:rsidRPr="000C56F2">
        <w:rPr>
          <w:rFonts w:cstheme="minorHAnsi"/>
          <w:sz w:val="24"/>
          <w:szCs w:val="24"/>
        </w:rPr>
        <w:t xml:space="preserve"> </w:t>
      </w:r>
      <w:r w:rsidR="00B316EC" w:rsidRPr="000C56F2">
        <w:rPr>
          <w:rFonts w:cstheme="minorHAnsi"/>
          <w:sz w:val="24"/>
          <w:szCs w:val="24"/>
        </w:rPr>
        <w:t xml:space="preserve">at the payer level. CHIA calculates </w:t>
      </w:r>
      <w:r w:rsidR="006D7257">
        <w:rPr>
          <w:rFonts w:cstheme="minorHAnsi"/>
          <w:sz w:val="24"/>
          <w:szCs w:val="24"/>
        </w:rPr>
        <w:t>per member per month (PMPM) spending</w:t>
      </w:r>
      <w:r w:rsidR="00B316EC" w:rsidRPr="000C56F2">
        <w:rPr>
          <w:rFonts w:cstheme="minorHAnsi"/>
          <w:sz w:val="24"/>
          <w:szCs w:val="24"/>
        </w:rPr>
        <w:t xml:space="preserve"> values for both partial and full claim spending for each </w:t>
      </w:r>
      <w:r w:rsidR="006D7257">
        <w:rPr>
          <w:rFonts w:cstheme="minorHAnsi"/>
          <w:sz w:val="24"/>
          <w:szCs w:val="24"/>
        </w:rPr>
        <w:t xml:space="preserve">TME </w:t>
      </w:r>
      <w:r w:rsidR="00B316EC" w:rsidRPr="000C56F2">
        <w:rPr>
          <w:rFonts w:cstheme="minorHAnsi"/>
          <w:sz w:val="24"/>
          <w:szCs w:val="24"/>
        </w:rPr>
        <w:t xml:space="preserve">service category. If the full claim PMPM exceeds the partial claim PMPM, the partial PMPM is grossed up to represent the same percentage of TME as the full claim spending, with excess non-claims dollars redistributed. </w:t>
      </w:r>
    </w:p>
    <w:p w14:paraId="1C200A4F" w14:textId="40335164" w:rsidR="00B316EC" w:rsidRPr="000C56F2" w:rsidRDefault="00B316EC" w:rsidP="000C56F2">
      <w:pPr>
        <w:pStyle w:val="ListParagraph"/>
        <w:numPr>
          <w:ilvl w:val="1"/>
          <w:numId w:val="1"/>
        </w:numPr>
        <w:rPr>
          <w:rFonts w:cstheme="minorHAnsi"/>
          <w:i/>
          <w:iCs/>
          <w:sz w:val="24"/>
          <w:szCs w:val="24"/>
        </w:rPr>
      </w:pPr>
      <w:r w:rsidRPr="000C56F2">
        <w:rPr>
          <w:rFonts w:cstheme="minorHAnsi"/>
          <w:i/>
          <w:iCs/>
          <w:sz w:val="24"/>
          <w:szCs w:val="24"/>
        </w:rPr>
        <w:t>Limitations with Current Methodology</w:t>
      </w:r>
    </w:p>
    <w:p w14:paraId="1B182CDA" w14:textId="6AD44E95" w:rsidR="008F7611" w:rsidRPr="000C56F2" w:rsidRDefault="00B316EC">
      <w:pPr>
        <w:rPr>
          <w:rFonts w:cstheme="minorHAnsi"/>
          <w:sz w:val="24"/>
          <w:szCs w:val="24"/>
        </w:rPr>
      </w:pPr>
      <w:r w:rsidRPr="000C56F2">
        <w:rPr>
          <w:rFonts w:cstheme="minorHAnsi"/>
          <w:sz w:val="24"/>
          <w:szCs w:val="24"/>
        </w:rPr>
        <w:t xml:space="preserve">There are some limitations to this methodology. First, </w:t>
      </w:r>
      <w:r w:rsidR="000C56F2" w:rsidRPr="000C56F2">
        <w:rPr>
          <w:rFonts w:cstheme="minorHAnsi"/>
          <w:sz w:val="24"/>
          <w:szCs w:val="24"/>
        </w:rPr>
        <w:t>under this process</w:t>
      </w:r>
      <w:r w:rsidRPr="000C56F2">
        <w:rPr>
          <w:rFonts w:cstheme="minorHAnsi"/>
          <w:sz w:val="24"/>
          <w:szCs w:val="24"/>
        </w:rPr>
        <w:t xml:space="preserve"> CHIA must apply risk adjustment </w:t>
      </w:r>
      <w:r w:rsidR="00B64FB7">
        <w:rPr>
          <w:rFonts w:cstheme="minorHAnsi"/>
          <w:sz w:val="24"/>
          <w:szCs w:val="24"/>
        </w:rPr>
        <w:t>at the service category level</w:t>
      </w:r>
      <w:r w:rsidRPr="000C56F2">
        <w:rPr>
          <w:rFonts w:cstheme="minorHAnsi"/>
          <w:sz w:val="24"/>
          <w:szCs w:val="24"/>
        </w:rPr>
        <w:t xml:space="preserve"> rather than </w:t>
      </w:r>
      <w:proofErr w:type="spellStart"/>
      <w:r w:rsidR="00B64FB7">
        <w:rPr>
          <w:rFonts w:cstheme="minorHAnsi"/>
          <w:sz w:val="24"/>
          <w:szCs w:val="24"/>
        </w:rPr>
        <w:t>than</w:t>
      </w:r>
      <w:proofErr w:type="spellEnd"/>
      <w:r w:rsidR="00B64FB7">
        <w:rPr>
          <w:rFonts w:cstheme="minorHAnsi"/>
          <w:sz w:val="24"/>
          <w:szCs w:val="24"/>
        </w:rPr>
        <w:t xml:space="preserve"> in total. </w:t>
      </w:r>
      <w:r w:rsidRPr="000C56F2">
        <w:rPr>
          <w:rFonts w:cstheme="minorHAnsi"/>
          <w:sz w:val="24"/>
          <w:szCs w:val="24"/>
        </w:rPr>
        <w:t xml:space="preserve">Second, this methodology grosses up all service categories where the full PMPM exceeds the partial PMPM, rather than grossing up only services that insurers report carve-outs for. </w:t>
      </w:r>
    </w:p>
    <w:p w14:paraId="2E1602B7" w14:textId="4D48AD2F" w:rsidR="000C56F2" w:rsidRPr="000C56F2" w:rsidRDefault="000C56F2" w:rsidP="000C56F2">
      <w:pPr>
        <w:pStyle w:val="ListParagraph"/>
        <w:numPr>
          <w:ilvl w:val="0"/>
          <w:numId w:val="1"/>
        </w:numPr>
        <w:rPr>
          <w:rFonts w:cstheme="minorHAnsi"/>
          <w:b/>
          <w:bCs/>
          <w:sz w:val="24"/>
          <w:szCs w:val="24"/>
        </w:rPr>
      </w:pPr>
      <w:r w:rsidRPr="000C56F2">
        <w:rPr>
          <w:rFonts w:cstheme="minorHAnsi"/>
          <w:b/>
          <w:bCs/>
          <w:sz w:val="24"/>
          <w:szCs w:val="24"/>
        </w:rPr>
        <w:t>Revised Methodology Overview</w:t>
      </w:r>
    </w:p>
    <w:p w14:paraId="65AEABAB" w14:textId="72260C7B" w:rsidR="000C56F2" w:rsidRPr="000C56F2" w:rsidRDefault="0058733B" w:rsidP="000C56F2">
      <w:pPr>
        <w:rPr>
          <w:rFonts w:cstheme="minorHAnsi"/>
          <w:sz w:val="24"/>
          <w:szCs w:val="24"/>
        </w:rPr>
      </w:pPr>
      <w:r>
        <w:rPr>
          <w:rFonts w:cstheme="minorHAnsi"/>
          <w:sz w:val="24"/>
          <w:szCs w:val="24"/>
        </w:rPr>
        <w:t xml:space="preserve">In recent years, CHIA has refined the TME-APM collection to include more granular data on carved out services </w:t>
      </w:r>
      <w:r w:rsidR="002B2AF4">
        <w:rPr>
          <w:rFonts w:cstheme="minorHAnsi"/>
          <w:sz w:val="24"/>
          <w:szCs w:val="24"/>
        </w:rPr>
        <w:t>and</w:t>
      </w:r>
      <w:r>
        <w:rPr>
          <w:rFonts w:cstheme="minorHAnsi"/>
          <w:sz w:val="24"/>
          <w:szCs w:val="24"/>
        </w:rPr>
        <w:t xml:space="preserve"> </w:t>
      </w:r>
      <w:r w:rsidR="002B2AF4">
        <w:rPr>
          <w:rFonts w:cstheme="minorHAnsi"/>
          <w:sz w:val="24"/>
          <w:szCs w:val="24"/>
        </w:rPr>
        <w:t>implemented</w:t>
      </w:r>
      <w:r>
        <w:rPr>
          <w:rFonts w:cstheme="minorHAnsi"/>
          <w:sz w:val="24"/>
          <w:szCs w:val="24"/>
        </w:rPr>
        <w:t xml:space="preserve"> a new data collection to measure Primary Care and Behavioral Health (PCBH) spending. Due to </w:t>
      </w:r>
      <w:r w:rsidR="002B2AF4">
        <w:rPr>
          <w:rFonts w:cstheme="minorHAnsi"/>
          <w:sz w:val="24"/>
          <w:szCs w:val="24"/>
        </w:rPr>
        <w:t xml:space="preserve">availability of </w:t>
      </w:r>
      <w:r>
        <w:rPr>
          <w:rFonts w:cstheme="minorHAnsi"/>
          <w:sz w:val="24"/>
          <w:szCs w:val="24"/>
        </w:rPr>
        <w:t xml:space="preserve">more detailed data </w:t>
      </w:r>
      <w:r w:rsidR="002B2AF4">
        <w:rPr>
          <w:rFonts w:cstheme="minorHAnsi"/>
          <w:sz w:val="24"/>
          <w:szCs w:val="24"/>
        </w:rPr>
        <w:t>and to</w:t>
      </w:r>
      <w:r w:rsidR="000C56F2" w:rsidRPr="000C56F2">
        <w:rPr>
          <w:rFonts w:cstheme="minorHAnsi"/>
          <w:sz w:val="24"/>
          <w:szCs w:val="24"/>
        </w:rPr>
        <w:t xml:space="preserve"> address the </w:t>
      </w:r>
      <w:r w:rsidR="006D7257">
        <w:rPr>
          <w:rFonts w:cstheme="minorHAnsi"/>
          <w:sz w:val="24"/>
          <w:szCs w:val="24"/>
        </w:rPr>
        <w:t>limitations of the calculation</w:t>
      </w:r>
      <w:r w:rsidR="000C56F2" w:rsidRPr="000C56F2">
        <w:rPr>
          <w:rFonts w:cstheme="minorHAnsi"/>
          <w:sz w:val="24"/>
          <w:szCs w:val="24"/>
        </w:rPr>
        <w:t xml:space="preserve"> outlined above, CHIA is implementing a revised methodology</w:t>
      </w:r>
      <w:r>
        <w:rPr>
          <w:rFonts w:cstheme="minorHAnsi"/>
          <w:sz w:val="24"/>
          <w:szCs w:val="24"/>
        </w:rPr>
        <w:t xml:space="preserve"> to gross up partial claims</w:t>
      </w:r>
      <w:r w:rsidR="000C56F2" w:rsidRPr="000C56F2">
        <w:rPr>
          <w:rFonts w:cstheme="minorHAnsi"/>
          <w:sz w:val="24"/>
          <w:szCs w:val="24"/>
        </w:rPr>
        <w:t xml:space="preserve"> for the 2021 reporting cycle. Under th</w:t>
      </w:r>
      <w:r w:rsidR="006D7257">
        <w:rPr>
          <w:rFonts w:cstheme="minorHAnsi"/>
          <w:sz w:val="24"/>
          <w:szCs w:val="24"/>
        </w:rPr>
        <w:t>e</w:t>
      </w:r>
      <w:r w:rsidR="000C56F2" w:rsidRPr="000C56F2">
        <w:rPr>
          <w:rFonts w:cstheme="minorHAnsi"/>
          <w:sz w:val="24"/>
          <w:szCs w:val="24"/>
        </w:rPr>
        <w:t xml:space="preserve"> revised methodology, commercial partial spending is only grossed up for services that payers report carve-outs for in </w:t>
      </w:r>
      <w:r w:rsidR="000C56F2" w:rsidRPr="002B2AF4">
        <w:rPr>
          <w:rFonts w:cstheme="minorHAnsi"/>
          <w:i/>
          <w:iCs/>
          <w:sz w:val="24"/>
          <w:szCs w:val="24"/>
        </w:rPr>
        <w:lastRenderedPageBreak/>
        <w:t>Table A.3</w:t>
      </w:r>
      <w:r w:rsidR="000C56F2" w:rsidRPr="000C56F2">
        <w:rPr>
          <w:rFonts w:cstheme="minorHAnsi"/>
          <w:sz w:val="24"/>
          <w:szCs w:val="24"/>
        </w:rPr>
        <w:t xml:space="preserve"> of the TME-APM submission template (see below)</w:t>
      </w:r>
      <w:r w:rsidR="000C56F2">
        <w:rPr>
          <w:rFonts w:cstheme="minorHAnsi"/>
          <w:sz w:val="24"/>
          <w:szCs w:val="24"/>
        </w:rPr>
        <w:t>.</w:t>
      </w:r>
      <w:r w:rsidR="00D37EAA">
        <w:rPr>
          <w:rFonts w:cstheme="minorHAnsi"/>
          <w:sz w:val="24"/>
          <w:szCs w:val="24"/>
        </w:rPr>
        <w:t xml:space="preserve"> The use of risk adjustment is removed, as all calculations are done at the unadjusted spending level. </w:t>
      </w:r>
    </w:p>
    <w:p w14:paraId="10DAA0A2" w14:textId="4CB2619E" w:rsidR="000C56F2" w:rsidRPr="000C56F2" w:rsidRDefault="000C56F2" w:rsidP="000C56F2">
      <w:pPr>
        <w:rPr>
          <w:rFonts w:cstheme="minorHAnsi"/>
          <w:sz w:val="24"/>
          <w:szCs w:val="24"/>
        </w:rPr>
      </w:pPr>
      <w:r w:rsidRPr="000C56F2">
        <w:rPr>
          <w:noProof/>
          <w:sz w:val="24"/>
          <w:szCs w:val="24"/>
        </w:rPr>
        <w:drawing>
          <wp:inline distT="0" distB="0" distL="0" distR="0" wp14:anchorId="12B388E4" wp14:editId="49DA55D7">
            <wp:extent cx="6057900" cy="29794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2979420"/>
                    </a:xfrm>
                    <a:prstGeom prst="rect">
                      <a:avLst/>
                    </a:prstGeom>
                    <a:noFill/>
                    <a:ln>
                      <a:noFill/>
                    </a:ln>
                  </pic:spPr>
                </pic:pic>
              </a:graphicData>
            </a:graphic>
          </wp:inline>
        </w:drawing>
      </w:r>
    </w:p>
    <w:p w14:paraId="7EC8941B" w14:textId="276AEF65" w:rsidR="000C56F2" w:rsidRPr="000C56F2" w:rsidRDefault="000C56F2" w:rsidP="000C56F2">
      <w:pPr>
        <w:pStyle w:val="ListParagraph"/>
        <w:numPr>
          <w:ilvl w:val="1"/>
          <w:numId w:val="1"/>
        </w:numPr>
        <w:rPr>
          <w:rFonts w:cstheme="minorHAnsi"/>
          <w:i/>
          <w:iCs/>
          <w:sz w:val="24"/>
          <w:szCs w:val="24"/>
        </w:rPr>
      </w:pPr>
      <w:r w:rsidRPr="000C56F2">
        <w:rPr>
          <w:rFonts w:cstheme="minorHAnsi"/>
          <w:i/>
          <w:iCs/>
          <w:sz w:val="24"/>
          <w:szCs w:val="24"/>
        </w:rPr>
        <w:t>Pharmacy Carve-Outs</w:t>
      </w:r>
    </w:p>
    <w:p w14:paraId="2F5693A5" w14:textId="38B00A2E" w:rsidR="000C56F2" w:rsidRPr="000C56F2" w:rsidRDefault="000C56F2" w:rsidP="000C56F2">
      <w:pPr>
        <w:rPr>
          <w:sz w:val="24"/>
          <w:szCs w:val="24"/>
        </w:rPr>
      </w:pPr>
      <w:r>
        <w:rPr>
          <w:sz w:val="24"/>
          <w:szCs w:val="24"/>
        </w:rPr>
        <w:t xml:space="preserve">For insurers who report pharmacy carve-outs, </w:t>
      </w:r>
      <w:r w:rsidR="004B36F0">
        <w:rPr>
          <w:sz w:val="24"/>
          <w:szCs w:val="24"/>
        </w:rPr>
        <w:t xml:space="preserve">the revised methodology grosses up partial claims using the reported commercial full Rx spending, commercial full total PMPM, and the commercial partial PMPM excluding Rx spending. </w:t>
      </w:r>
      <w:r w:rsidR="00DB6063">
        <w:rPr>
          <w:sz w:val="24"/>
          <w:szCs w:val="24"/>
        </w:rPr>
        <w:t xml:space="preserve">For payers </w:t>
      </w:r>
      <w:r w:rsidR="00AF50EF">
        <w:rPr>
          <w:sz w:val="24"/>
          <w:szCs w:val="24"/>
        </w:rPr>
        <w:t xml:space="preserve">that report pharmacy carve-outs for 100 percent of their commercial partial </w:t>
      </w:r>
      <w:r w:rsidR="00B9090A">
        <w:rPr>
          <w:sz w:val="24"/>
          <w:szCs w:val="24"/>
        </w:rPr>
        <w:t>member months, the following formula is applied:</w:t>
      </w:r>
    </w:p>
    <w:p w14:paraId="4F601537" w14:textId="1891D54D" w:rsidR="004B36F0" w:rsidRPr="00E52293" w:rsidRDefault="004B36F0" w:rsidP="00A7456C">
      <w:pPr>
        <w:rPr>
          <w:rFonts w:eastAsiaTheme="minorEastAsia"/>
          <w:sz w:val="24"/>
          <w:szCs w:val="24"/>
        </w:rPr>
      </w:pPr>
      <w:r w:rsidRPr="00E52293">
        <w:rPr>
          <w:rFonts w:eastAsiaTheme="minorEastAsia"/>
          <w:sz w:val="20"/>
          <w:szCs w:val="20"/>
        </w:rPr>
        <w:t xml:space="preserve">Rx Grossed-up Claims </w:t>
      </w:r>
      <w:r w:rsidR="00A7456C">
        <w:rPr>
          <w:rFonts w:eastAsiaTheme="minorEastAsia"/>
          <w:sz w:val="20"/>
          <w:szCs w:val="20"/>
        </w:rPr>
        <w:t>=</w:t>
      </w:r>
    </w:p>
    <w:p w14:paraId="37D07AF8" w14:textId="14784751" w:rsidR="00A7456C" w:rsidRDefault="009A1D10" w:rsidP="004B36F0">
      <w:pPr>
        <w:rPr>
          <w:rFonts w:eastAsiaTheme="minorEastAsia"/>
          <w:sz w:val="20"/>
          <w:szCs w:val="20"/>
        </w:rPr>
      </w:pPr>
      <m:oMath>
        <m:f>
          <m:fPr>
            <m:ctrlPr>
              <w:rPr>
                <w:rFonts w:ascii="Cambria Math" w:eastAsiaTheme="minorEastAsia" w:hAnsi="Cambria Math"/>
                <w:i/>
                <w:sz w:val="20"/>
                <w:szCs w:val="20"/>
              </w:rPr>
            </m:ctrlPr>
          </m:fPr>
          <m:num>
            <m:r>
              <w:rPr>
                <w:rFonts w:ascii="Cambria Math" w:eastAsiaTheme="minorEastAsia" w:hAnsi="Cambria Math"/>
                <w:sz w:val="20"/>
                <w:szCs w:val="20"/>
              </w:rPr>
              <m:t>TME Partial PMPM excl. Rx and nonclaims</m:t>
            </m:r>
          </m:num>
          <m:den>
            <m:d>
              <m:dPr>
                <m:ctrlPr>
                  <w:rPr>
                    <w:rFonts w:ascii="Cambria Math" w:eastAsiaTheme="minorEastAsia" w:hAnsi="Cambria Math"/>
                    <w:i/>
                    <w:sz w:val="20"/>
                    <w:szCs w:val="20"/>
                  </w:rPr>
                </m:ctrlPr>
              </m:dPr>
              <m:e>
                <m:r>
                  <w:rPr>
                    <w:rFonts w:ascii="Cambria Math" w:eastAsiaTheme="minorEastAsia" w:hAnsi="Cambria Math"/>
                    <w:sz w:val="20"/>
                    <w:szCs w:val="20"/>
                  </w:rPr>
                  <m:t>1-TME Full Rx PMPM/TME Full Total PMPM excl. nonclaims</m:t>
                </m:r>
              </m:e>
            </m:d>
          </m:den>
        </m:f>
        <m:r>
          <w:rPr>
            <w:rFonts w:ascii="Cambria Math" w:eastAsiaTheme="minorEastAsia" w:hAnsi="Cambria Math"/>
            <w:sz w:val="20"/>
            <w:szCs w:val="20"/>
          </w:rPr>
          <m:t>-TME Partial PMPM excl. Rx and nonclaims</m:t>
        </m:r>
      </m:oMath>
      <w:r w:rsidR="00A7456C">
        <w:rPr>
          <w:rFonts w:eastAsiaTheme="minorEastAsia"/>
          <w:sz w:val="20"/>
          <w:szCs w:val="20"/>
        </w:rPr>
        <w:t xml:space="preserve"> </w:t>
      </w:r>
    </w:p>
    <w:p w14:paraId="6554BA54" w14:textId="77777777" w:rsidR="009F1987" w:rsidRDefault="009F1987" w:rsidP="004B36F0">
      <w:pPr>
        <w:rPr>
          <w:sz w:val="24"/>
          <w:szCs w:val="24"/>
        </w:rPr>
      </w:pPr>
    </w:p>
    <w:p w14:paraId="341ABE37" w14:textId="26401EEB" w:rsidR="004B36F0" w:rsidRDefault="00CA1828" w:rsidP="004B36F0">
      <w:pPr>
        <w:rPr>
          <w:sz w:val="24"/>
          <w:szCs w:val="24"/>
        </w:rPr>
      </w:pPr>
      <w:r w:rsidRPr="00A7456C">
        <w:rPr>
          <w:sz w:val="24"/>
          <w:szCs w:val="24"/>
        </w:rPr>
        <w:t>Th</w:t>
      </w:r>
      <w:r w:rsidR="00020F73">
        <w:rPr>
          <w:sz w:val="24"/>
          <w:szCs w:val="24"/>
        </w:rPr>
        <w:t>e above</w:t>
      </w:r>
      <w:r w:rsidRPr="00A7456C">
        <w:rPr>
          <w:sz w:val="24"/>
          <w:szCs w:val="24"/>
        </w:rPr>
        <w:t xml:space="preserve"> calculation </w:t>
      </w:r>
      <w:r w:rsidR="000874F0">
        <w:rPr>
          <w:sz w:val="24"/>
          <w:szCs w:val="24"/>
        </w:rPr>
        <w:t xml:space="preserve">uses </w:t>
      </w:r>
      <w:r w:rsidR="009F1987">
        <w:rPr>
          <w:sz w:val="24"/>
          <w:szCs w:val="24"/>
        </w:rPr>
        <w:t>c</w:t>
      </w:r>
      <w:r w:rsidR="000874F0">
        <w:rPr>
          <w:sz w:val="24"/>
          <w:szCs w:val="24"/>
        </w:rPr>
        <w:t xml:space="preserve">ommercial </w:t>
      </w:r>
      <w:r w:rsidR="009F1987">
        <w:rPr>
          <w:sz w:val="24"/>
          <w:szCs w:val="24"/>
        </w:rPr>
        <w:t>f</w:t>
      </w:r>
      <w:r w:rsidR="000874F0">
        <w:rPr>
          <w:sz w:val="24"/>
          <w:szCs w:val="24"/>
        </w:rPr>
        <w:t xml:space="preserve">ull </w:t>
      </w:r>
      <w:r w:rsidR="009F1987">
        <w:rPr>
          <w:sz w:val="24"/>
          <w:szCs w:val="24"/>
        </w:rPr>
        <w:t xml:space="preserve">claim </w:t>
      </w:r>
      <w:r w:rsidR="000874F0">
        <w:rPr>
          <w:sz w:val="24"/>
          <w:szCs w:val="24"/>
        </w:rPr>
        <w:t xml:space="preserve">pharmacy spending as a percent of </w:t>
      </w:r>
      <w:r w:rsidR="009F1987">
        <w:rPr>
          <w:sz w:val="24"/>
          <w:szCs w:val="24"/>
        </w:rPr>
        <w:t>c</w:t>
      </w:r>
      <w:r w:rsidR="000874F0">
        <w:rPr>
          <w:sz w:val="24"/>
          <w:szCs w:val="24"/>
        </w:rPr>
        <w:t xml:space="preserve">ommercial </w:t>
      </w:r>
      <w:r w:rsidR="009F1987">
        <w:rPr>
          <w:sz w:val="24"/>
          <w:szCs w:val="24"/>
        </w:rPr>
        <w:t>f</w:t>
      </w:r>
      <w:r w:rsidR="000874F0">
        <w:rPr>
          <w:sz w:val="24"/>
          <w:szCs w:val="24"/>
        </w:rPr>
        <w:t>ull total spending to estimate commercial partial pharmacy</w:t>
      </w:r>
      <w:r w:rsidR="009F1987">
        <w:rPr>
          <w:sz w:val="24"/>
          <w:szCs w:val="24"/>
        </w:rPr>
        <w:t xml:space="preserve"> expenditures</w:t>
      </w:r>
      <w:r w:rsidR="000874F0">
        <w:rPr>
          <w:sz w:val="24"/>
          <w:szCs w:val="24"/>
        </w:rPr>
        <w:t xml:space="preserve">. </w:t>
      </w:r>
      <w:r w:rsidR="00A7456C">
        <w:rPr>
          <w:sz w:val="24"/>
          <w:szCs w:val="24"/>
        </w:rPr>
        <w:t xml:space="preserve">PMPM </w:t>
      </w:r>
      <w:r w:rsidR="009F1987">
        <w:rPr>
          <w:sz w:val="24"/>
          <w:szCs w:val="24"/>
        </w:rPr>
        <w:t xml:space="preserve">values are calculated using the spending and member months. </w:t>
      </w:r>
      <w:r w:rsidR="00A7456C">
        <w:rPr>
          <w:sz w:val="24"/>
          <w:szCs w:val="24"/>
        </w:rPr>
        <w:t xml:space="preserve"> </w:t>
      </w:r>
    </w:p>
    <w:p w14:paraId="4C75716A" w14:textId="06D811D4" w:rsidR="00B9090A" w:rsidRDefault="00B9090A" w:rsidP="004B36F0">
      <w:pPr>
        <w:rPr>
          <w:sz w:val="24"/>
          <w:szCs w:val="24"/>
        </w:rPr>
      </w:pPr>
      <w:r>
        <w:rPr>
          <w:sz w:val="24"/>
          <w:szCs w:val="24"/>
        </w:rPr>
        <w:t xml:space="preserve">For payers that report pharmacy carve-outs for less than 100 percent of their commercial partial member months, the following formula is applied: </w:t>
      </w:r>
    </w:p>
    <w:p w14:paraId="29CC63FE" w14:textId="69B62D2A" w:rsidR="00B9090A" w:rsidRPr="00E52293" w:rsidRDefault="00B9090A" w:rsidP="00B9090A">
      <w:pPr>
        <w:rPr>
          <w:rFonts w:eastAsiaTheme="minorEastAsia"/>
          <w:sz w:val="24"/>
          <w:szCs w:val="24"/>
        </w:rPr>
      </w:pPr>
      <w:r w:rsidRPr="00E52293">
        <w:rPr>
          <w:rFonts w:eastAsiaTheme="minorEastAsia"/>
          <w:sz w:val="20"/>
          <w:szCs w:val="20"/>
        </w:rPr>
        <w:t xml:space="preserve">Rx Grossed-up Claims </w:t>
      </w:r>
      <w:r>
        <w:rPr>
          <w:rFonts w:eastAsiaTheme="minorEastAsia"/>
          <w:sz w:val="20"/>
          <w:szCs w:val="20"/>
        </w:rPr>
        <w:t>=</w:t>
      </w:r>
      <m:oMath>
        <m:r>
          <m:rPr>
            <m:sty m:val="p"/>
          </m:rPr>
          <w:rPr>
            <w:rFonts w:ascii="Cambria Math" w:eastAsiaTheme="minorEastAsia" w:hAnsi="Cambria Math"/>
            <w:sz w:val="20"/>
            <w:szCs w:val="20"/>
          </w:rPr>
          <w:br/>
        </m:r>
      </m:oMath>
      <m:oMathPara>
        <m:oMath>
          <m:f>
            <m:fPr>
              <m:ctrlPr>
                <w:rPr>
                  <w:rFonts w:ascii="Cambria Math" w:eastAsiaTheme="minorEastAsia" w:hAnsi="Cambria Math"/>
                  <w:i/>
                  <w:sz w:val="20"/>
                  <w:szCs w:val="20"/>
                </w:rPr>
              </m:ctrlPr>
            </m:fPr>
            <m:num>
              <m:r>
                <w:rPr>
                  <w:rFonts w:ascii="Cambria Math" w:eastAsiaTheme="minorEastAsia" w:hAnsi="Cambria Math"/>
                  <w:sz w:val="20"/>
                  <w:szCs w:val="20"/>
                </w:rPr>
                <m:t>TME Partial Rx PMPM</m:t>
              </m:r>
            </m:num>
            <m:den>
              <m:r>
                <w:rPr>
                  <w:rFonts w:ascii="Cambria Math" w:eastAsiaTheme="minorEastAsia" w:hAnsi="Cambria Math"/>
                  <w:sz w:val="20"/>
                  <w:szCs w:val="20"/>
                </w:rPr>
                <m:t>(1-% Rx MM Carved Out)</m:t>
              </m:r>
            </m:den>
          </m:f>
        </m:oMath>
      </m:oMathPara>
    </w:p>
    <w:p w14:paraId="49E4F4DC" w14:textId="41286C75" w:rsidR="001F571B" w:rsidRPr="00185908" w:rsidRDefault="00020F73" w:rsidP="004B36F0">
      <w:pPr>
        <w:rPr>
          <w:rFonts w:eastAsiaTheme="minorEastAsia"/>
          <w:sz w:val="24"/>
          <w:szCs w:val="24"/>
        </w:rPr>
      </w:pPr>
      <w:r w:rsidRPr="00185908">
        <w:rPr>
          <w:rFonts w:eastAsiaTheme="minorEastAsia"/>
          <w:sz w:val="24"/>
          <w:szCs w:val="24"/>
        </w:rPr>
        <w:t xml:space="preserve">The above calculation </w:t>
      </w:r>
      <w:r w:rsidR="00B769EE">
        <w:rPr>
          <w:rFonts w:eastAsiaTheme="minorEastAsia"/>
          <w:sz w:val="24"/>
          <w:szCs w:val="24"/>
        </w:rPr>
        <w:t>uses</w:t>
      </w:r>
      <w:r w:rsidRPr="00185908">
        <w:rPr>
          <w:rFonts w:eastAsiaTheme="minorEastAsia"/>
          <w:sz w:val="24"/>
          <w:szCs w:val="24"/>
        </w:rPr>
        <w:t xml:space="preserve"> the </w:t>
      </w:r>
      <w:r w:rsidR="00185908">
        <w:rPr>
          <w:rFonts w:eastAsiaTheme="minorEastAsia"/>
          <w:sz w:val="24"/>
          <w:szCs w:val="24"/>
        </w:rPr>
        <w:t xml:space="preserve">pharmacy spending reported for commercial partial </w:t>
      </w:r>
      <w:r w:rsidR="000C1EA7">
        <w:rPr>
          <w:rFonts w:eastAsiaTheme="minorEastAsia"/>
          <w:sz w:val="24"/>
          <w:szCs w:val="24"/>
        </w:rPr>
        <w:t>member</w:t>
      </w:r>
      <w:r w:rsidR="006C14DD">
        <w:rPr>
          <w:rFonts w:eastAsiaTheme="minorEastAsia"/>
          <w:sz w:val="24"/>
          <w:szCs w:val="24"/>
        </w:rPr>
        <w:t xml:space="preserve">s for whom pharmacy is not carved out </w:t>
      </w:r>
      <w:r w:rsidR="000C1EA7">
        <w:rPr>
          <w:rFonts w:eastAsiaTheme="minorEastAsia"/>
          <w:sz w:val="24"/>
          <w:szCs w:val="24"/>
        </w:rPr>
        <w:t xml:space="preserve">to </w:t>
      </w:r>
      <w:r w:rsidR="00A10FDE">
        <w:rPr>
          <w:rFonts w:eastAsiaTheme="minorEastAsia"/>
          <w:sz w:val="24"/>
          <w:szCs w:val="24"/>
        </w:rPr>
        <w:t>account</w:t>
      </w:r>
      <w:r w:rsidR="000C1EA7">
        <w:rPr>
          <w:rFonts w:eastAsiaTheme="minorEastAsia"/>
          <w:sz w:val="24"/>
          <w:szCs w:val="24"/>
        </w:rPr>
        <w:t xml:space="preserve"> for those with</w:t>
      </w:r>
      <w:r w:rsidR="009F1987">
        <w:rPr>
          <w:rFonts w:eastAsiaTheme="minorEastAsia"/>
          <w:sz w:val="24"/>
          <w:szCs w:val="24"/>
        </w:rPr>
        <w:t xml:space="preserve"> reported carved out pharmacy services. </w:t>
      </w:r>
    </w:p>
    <w:p w14:paraId="2A30B3BB" w14:textId="68E04ED1" w:rsidR="00B9090A" w:rsidRPr="001F571B" w:rsidRDefault="00B9090A" w:rsidP="004B36F0">
      <w:pPr>
        <w:rPr>
          <w:rFonts w:eastAsiaTheme="minorEastAsia"/>
          <w:sz w:val="20"/>
          <w:szCs w:val="20"/>
        </w:rPr>
      </w:pPr>
    </w:p>
    <w:p w14:paraId="47036AA1" w14:textId="5115F9E1" w:rsidR="007D0DEF" w:rsidRPr="007D0DEF" w:rsidRDefault="007D0DEF" w:rsidP="007D0DEF">
      <w:pPr>
        <w:tabs>
          <w:tab w:val="left" w:pos="936"/>
        </w:tabs>
        <w:rPr>
          <w:rFonts w:cstheme="minorHAnsi"/>
          <w:sz w:val="24"/>
          <w:szCs w:val="24"/>
        </w:rPr>
      </w:pPr>
      <w:r>
        <w:rPr>
          <w:rFonts w:cstheme="minorHAnsi"/>
          <w:sz w:val="24"/>
          <w:szCs w:val="24"/>
        </w:rPr>
        <w:t xml:space="preserve">For payers with only commercial partial business, this methodology uses an all-payer market average to gross up carved out services to the full claim amount. </w:t>
      </w:r>
    </w:p>
    <w:p w14:paraId="6611AA74" w14:textId="6C5B1E22" w:rsidR="00997784" w:rsidRPr="00997784" w:rsidRDefault="006D7257" w:rsidP="00997784">
      <w:pPr>
        <w:pStyle w:val="ListParagraph"/>
        <w:numPr>
          <w:ilvl w:val="1"/>
          <w:numId w:val="1"/>
        </w:numPr>
        <w:rPr>
          <w:rFonts w:cstheme="minorHAnsi"/>
          <w:i/>
          <w:iCs/>
          <w:sz w:val="24"/>
          <w:szCs w:val="24"/>
        </w:rPr>
      </w:pPr>
      <w:r w:rsidRPr="00997784">
        <w:rPr>
          <w:rFonts w:cstheme="minorHAnsi"/>
          <w:i/>
          <w:iCs/>
          <w:sz w:val="24"/>
          <w:szCs w:val="24"/>
        </w:rPr>
        <w:t>Behavioral Health Carve-Outs</w:t>
      </w:r>
    </w:p>
    <w:p w14:paraId="123D2560" w14:textId="074BCF39" w:rsidR="00D37EAA" w:rsidRPr="00997784" w:rsidRDefault="006D7257" w:rsidP="00997784">
      <w:pPr>
        <w:rPr>
          <w:rFonts w:cstheme="minorHAnsi"/>
          <w:sz w:val="24"/>
          <w:szCs w:val="24"/>
        </w:rPr>
      </w:pPr>
      <w:r>
        <w:rPr>
          <w:rFonts w:cstheme="minorHAnsi"/>
          <w:sz w:val="24"/>
          <w:szCs w:val="24"/>
        </w:rPr>
        <w:t xml:space="preserve">For insurers who report behavioral health </w:t>
      </w:r>
      <w:proofErr w:type="spellStart"/>
      <w:r>
        <w:rPr>
          <w:rFonts w:cstheme="minorHAnsi"/>
          <w:sz w:val="24"/>
          <w:szCs w:val="24"/>
        </w:rPr>
        <w:t>carve</w:t>
      </w:r>
      <w:proofErr w:type="spellEnd"/>
      <w:r>
        <w:rPr>
          <w:rFonts w:cstheme="minorHAnsi"/>
          <w:sz w:val="24"/>
          <w:szCs w:val="24"/>
        </w:rPr>
        <w:t>-outs,</w:t>
      </w:r>
      <w:r w:rsidR="00997784">
        <w:rPr>
          <w:rFonts w:cstheme="minorHAnsi"/>
          <w:sz w:val="24"/>
          <w:szCs w:val="24"/>
        </w:rPr>
        <w:t xml:space="preserve"> </w:t>
      </w:r>
      <w:r w:rsidR="00997784" w:rsidRPr="00997784">
        <w:rPr>
          <w:rFonts w:cstheme="minorHAnsi"/>
          <w:sz w:val="24"/>
          <w:szCs w:val="24"/>
        </w:rPr>
        <w:t>CHIA leveraged the new P</w:t>
      </w:r>
      <w:r w:rsidR="00997784">
        <w:rPr>
          <w:rFonts w:cstheme="minorHAnsi"/>
          <w:sz w:val="24"/>
          <w:szCs w:val="24"/>
        </w:rPr>
        <w:t xml:space="preserve">rimary Care Behavioral Health (PCBH) </w:t>
      </w:r>
      <w:r w:rsidR="00997784" w:rsidRPr="00997784">
        <w:rPr>
          <w:rFonts w:cstheme="minorHAnsi"/>
          <w:sz w:val="24"/>
          <w:szCs w:val="24"/>
        </w:rPr>
        <w:t xml:space="preserve">data collection to estimate </w:t>
      </w:r>
      <w:r w:rsidR="00997784">
        <w:rPr>
          <w:rFonts w:cstheme="minorHAnsi"/>
          <w:sz w:val="24"/>
          <w:szCs w:val="24"/>
        </w:rPr>
        <w:t>service percentages.</w:t>
      </w:r>
      <w:r w:rsidR="00997784" w:rsidRPr="00997784">
        <w:rPr>
          <w:rFonts w:cstheme="minorHAnsi"/>
          <w:sz w:val="24"/>
          <w:szCs w:val="24"/>
        </w:rPr>
        <w:t xml:space="preserve"> The PCBH and TME data collections capture the same population, therefore total spending between the two data submissions was largely consistent at the Payer/Year/Insurance Category level apart from minor differences due to claim run-out. </w:t>
      </w:r>
    </w:p>
    <w:p w14:paraId="70F7D604" w14:textId="46D5A7A2" w:rsidR="00D37EAA" w:rsidRDefault="00D37EAA" w:rsidP="00997784">
      <w:pPr>
        <w:rPr>
          <w:rFonts w:cstheme="minorHAnsi"/>
          <w:sz w:val="24"/>
          <w:szCs w:val="24"/>
        </w:rPr>
      </w:pPr>
      <w:r>
        <w:rPr>
          <w:rFonts w:cstheme="minorHAnsi"/>
          <w:sz w:val="24"/>
          <w:szCs w:val="24"/>
        </w:rPr>
        <w:t xml:space="preserve">The main data point sourced from the PCBH submission is behavioral health spending as a percentage of total reported spending </w:t>
      </w:r>
      <w:r w:rsidR="0026764B">
        <w:rPr>
          <w:rFonts w:cstheme="minorHAnsi"/>
          <w:sz w:val="24"/>
          <w:szCs w:val="24"/>
        </w:rPr>
        <w:t xml:space="preserve">in the PCBH data </w:t>
      </w:r>
      <w:r>
        <w:rPr>
          <w:rFonts w:cstheme="minorHAnsi"/>
          <w:sz w:val="24"/>
          <w:szCs w:val="24"/>
        </w:rPr>
        <w:t xml:space="preserve">by Payer/Year/Insurance Category. </w:t>
      </w:r>
    </w:p>
    <w:p w14:paraId="21F82E88" w14:textId="7B6486E0" w:rsidR="00997784" w:rsidRDefault="007D0DEF" w:rsidP="00656C03">
      <w:pPr>
        <w:tabs>
          <w:tab w:val="left" w:pos="936"/>
        </w:tabs>
        <w:rPr>
          <w:rFonts w:cstheme="minorHAnsi"/>
          <w:sz w:val="24"/>
          <w:szCs w:val="24"/>
        </w:rPr>
      </w:pPr>
      <w:r>
        <w:rPr>
          <w:rFonts w:cstheme="minorHAnsi"/>
          <w:sz w:val="24"/>
          <w:szCs w:val="24"/>
        </w:rPr>
        <w:t xml:space="preserve">After reviewing the service category spending in the PCBH data submission, CHIA identified the appropriate </w:t>
      </w:r>
      <w:r w:rsidR="006C14DD">
        <w:rPr>
          <w:rFonts w:cstheme="minorHAnsi"/>
          <w:sz w:val="24"/>
          <w:szCs w:val="24"/>
        </w:rPr>
        <w:t xml:space="preserve">areas </w:t>
      </w:r>
      <w:r>
        <w:rPr>
          <w:rFonts w:cstheme="minorHAnsi"/>
          <w:sz w:val="24"/>
          <w:szCs w:val="24"/>
        </w:rPr>
        <w:t>to gross up for behavioral health services. To account for both the professional claim and the facility component of spending, all TME service categories other than Non-Claims, Pharmacy, and Other Medical</w:t>
      </w:r>
      <w:r w:rsidR="00703E0D">
        <w:rPr>
          <w:rStyle w:val="FootnoteReference"/>
          <w:rFonts w:cstheme="minorHAnsi"/>
          <w:sz w:val="24"/>
          <w:szCs w:val="24"/>
        </w:rPr>
        <w:footnoteReference w:id="1"/>
      </w:r>
      <w:r w:rsidR="00703E0D">
        <w:rPr>
          <w:rFonts w:cstheme="minorHAnsi"/>
          <w:sz w:val="24"/>
          <w:szCs w:val="24"/>
        </w:rPr>
        <w:t xml:space="preserve"> </w:t>
      </w:r>
      <w:r>
        <w:rPr>
          <w:rFonts w:cstheme="minorHAnsi"/>
          <w:sz w:val="24"/>
          <w:szCs w:val="24"/>
        </w:rPr>
        <w:t>are grossed up</w:t>
      </w:r>
      <w:r w:rsidR="00703E0D">
        <w:rPr>
          <w:rFonts w:cstheme="minorHAnsi"/>
          <w:sz w:val="24"/>
          <w:szCs w:val="24"/>
        </w:rPr>
        <w:t xml:space="preserve">, as these services do not </w:t>
      </w:r>
      <w:r w:rsidR="00B64FB7">
        <w:rPr>
          <w:rFonts w:cstheme="minorHAnsi"/>
          <w:sz w:val="24"/>
          <w:szCs w:val="24"/>
        </w:rPr>
        <w:t xml:space="preserve">generally </w:t>
      </w:r>
      <w:r w:rsidR="00703E0D">
        <w:rPr>
          <w:rFonts w:cstheme="minorHAnsi"/>
          <w:sz w:val="24"/>
          <w:szCs w:val="24"/>
        </w:rPr>
        <w:t xml:space="preserve">include behavioral health-specific spending. </w:t>
      </w:r>
    </w:p>
    <w:p w14:paraId="172D45AB" w14:textId="3994E8B3" w:rsidR="00997784" w:rsidRDefault="00997784" w:rsidP="00997784">
      <w:pPr>
        <w:tabs>
          <w:tab w:val="left" w:pos="936"/>
        </w:tabs>
        <w:rPr>
          <w:rFonts w:cstheme="minorHAnsi"/>
          <w:sz w:val="24"/>
          <w:szCs w:val="24"/>
        </w:rPr>
      </w:pPr>
      <w:r>
        <w:rPr>
          <w:rFonts w:cstheme="minorHAnsi"/>
          <w:sz w:val="24"/>
          <w:szCs w:val="24"/>
        </w:rPr>
        <w:t>After gathering the necessary payer-level data points from the PCBH submissio</w:t>
      </w:r>
      <w:r w:rsidR="007D0DEF">
        <w:rPr>
          <w:rFonts w:cstheme="minorHAnsi"/>
          <w:sz w:val="24"/>
          <w:szCs w:val="24"/>
        </w:rPr>
        <w:t>n</w:t>
      </w:r>
      <w:r>
        <w:rPr>
          <w:rFonts w:cstheme="minorHAnsi"/>
          <w:sz w:val="24"/>
          <w:szCs w:val="24"/>
        </w:rPr>
        <w:t xml:space="preserve">, </w:t>
      </w:r>
      <w:r w:rsidR="00D37EAA">
        <w:rPr>
          <w:rFonts w:cstheme="minorHAnsi"/>
          <w:sz w:val="24"/>
          <w:szCs w:val="24"/>
        </w:rPr>
        <w:t>the revised methodology grosses up the</w:t>
      </w:r>
      <w:r>
        <w:rPr>
          <w:rFonts w:cstheme="minorHAnsi"/>
          <w:sz w:val="24"/>
          <w:szCs w:val="24"/>
        </w:rPr>
        <w:t xml:space="preserve"> partial claim service category spending using the following calculation</w:t>
      </w:r>
      <w:r w:rsidR="008A41E4">
        <w:rPr>
          <w:rFonts w:cstheme="minorHAnsi"/>
          <w:sz w:val="24"/>
          <w:szCs w:val="24"/>
        </w:rPr>
        <w:t xml:space="preserve"> - </w:t>
      </w:r>
    </w:p>
    <w:p w14:paraId="33223575" w14:textId="6019C947" w:rsidR="008A41E4" w:rsidRPr="004C3601" w:rsidRDefault="008A41E4" w:rsidP="008A41E4">
      <w:pPr>
        <w:ind w:firstLine="720"/>
        <w:rPr>
          <w:rFonts w:eastAsiaTheme="minorEastAsia"/>
          <w:sz w:val="24"/>
          <w:szCs w:val="24"/>
        </w:rPr>
      </w:pPr>
      <w:r w:rsidRPr="00863AB4">
        <w:rPr>
          <w:rFonts w:eastAsiaTheme="minorEastAsia"/>
          <w:sz w:val="20"/>
          <w:szCs w:val="20"/>
        </w:rPr>
        <w:t xml:space="preserve">BH Grossed-up Claims </w:t>
      </w:r>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TME Service PMPM Partial</m:t>
            </m:r>
          </m:num>
          <m:den>
            <m:r>
              <w:rPr>
                <w:rFonts w:ascii="Cambria Math" w:eastAsiaTheme="minorEastAsia" w:hAnsi="Cambria Math"/>
                <w:sz w:val="24"/>
                <w:szCs w:val="24"/>
              </w:rPr>
              <m:t xml:space="preserve"> (1-% BH MM Carved Out*BH % of Total PCBH Spend)</m:t>
            </m:r>
          </m:den>
        </m:f>
      </m:oMath>
    </w:p>
    <w:p w14:paraId="09038EF9" w14:textId="7227E4A5" w:rsidR="00CA1828" w:rsidRDefault="000874F0" w:rsidP="00997784">
      <w:pPr>
        <w:tabs>
          <w:tab w:val="left" w:pos="936"/>
        </w:tabs>
        <w:rPr>
          <w:rFonts w:cstheme="minorHAnsi"/>
          <w:sz w:val="24"/>
          <w:szCs w:val="24"/>
        </w:rPr>
      </w:pPr>
      <w:r>
        <w:rPr>
          <w:rFonts w:cstheme="minorHAnsi"/>
          <w:sz w:val="24"/>
          <w:szCs w:val="24"/>
        </w:rPr>
        <w:t xml:space="preserve">The </w:t>
      </w:r>
      <w:r w:rsidR="009F1987">
        <w:rPr>
          <w:rFonts w:cstheme="minorHAnsi"/>
          <w:sz w:val="24"/>
          <w:szCs w:val="24"/>
        </w:rPr>
        <w:t xml:space="preserve">above </w:t>
      </w:r>
      <w:r>
        <w:rPr>
          <w:rFonts w:cstheme="minorHAnsi"/>
          <w:sz w:val="24"/>
          <w:szCs w:val="24"/>
        </w:rPr>
        <w:t xml:space="preserve">calculation </w:t>
      </w:r>
      <w:r w:rsidR="00E03DEE">
        <w:rPr>
          <w:rFonts w:cstheme="minorHAnsi"/>
          <w:sz w:val="24"/>
          <w:szCs w:val="24"/>
        </w:rPr>
        <w:t>adjusts service</w:t>
      </w:r>
      <w:r w:rsidR="009F1987">
        <w:rPr>
          <w:rFonts w:cstheme="minorHAnsi"/>
          <w:sz w:val="24"/>
          <w:szCs w:val="24"/>
        </w:rPr>
        <w:t xml:space="preserve"> category</w:t>
      </w:r>
      <w:r w:rsidR="00E03DEE">
        <w:rPr>
          <w:rFonts w:cstheme="minorHAnsi"/>
          <w:sz w:val="24"/>
          <w:szCs w:val="24"/>
        </w:rPr>
        <w:t xml:space="preserve"> level expenses to include </w:t>
      </w:r>
      <w:r w:rsidR="005411C5">
        <w:rPr>
          <w:rFonts w:cstheme="minorHAnsi"/>
          <w:sz w:val="24"/>
          <w:szCs w:val="24"/>
        </w:rPr>
        <w:t>estimated behavioral health spending</w:t>
      </w:r>
      <w:r>
        <w:rPr>
          <w:rFonts w:cstheme="minorHAnsi"/>
          <w:sz w:val="24"/>
          <w:szCs w:val="24"/>
        </w:rPr>
        <w:t xml:space="preserve">, accounting for </w:t>
      </w:r>
      <w:r w:rsidR="00E03DEE">
        <w:rPr>
          <w:rFonts w:cstheme="minorHAnsi"/>
          <w:sz w:val="24"/>
          <w:szCs w:val="24"/>
        </w:rPr>
        <w:t xml:space="preserve">the percentage of member months with </w:t>
      </w:r>
      <w:r w:rsidR="009F1987">
        <w:rPr>
          <w:rFonts w:cstheme="minorHAnsi"/>
          <w:sz w:val="24"/>
          <w:szCs w:val="24"/>
        </w:rPr>
        <w:t xml:space="preserve">reported </w:t>
      </w:r>
      <w:r w:rsidR="00E03DEE">
        <w:rPr>
          <w:rFonts w:cstheme="minorHAnsi"/>
          <w:sz w:val="24"/>
          <w:szCs w:val="24"/>
        </w:rPr>
        <w:t>carve</w:t>
      </w:r>
      <w:r w:rsidR="009F1987">
        <w:rPr>
          <w:rFonts w:cstheme="minorHAnsi"/>
          <w:sz w:val="24"/>
          <w:szCs w:val="24"/>
        </w:rPr>
        <w:t>-</w:t>
      </w:r>
      <w:r w:rsidR="00E03DEE">
        <w:rPr>
          <w:rFonts w:cstheme="minorHAnsi"/>
          <w:sz w:val="24"/>
          <w:szCs w:val="24"/>
        </w:rPr>
        <w:t>out</w:t>
      </w:r>
      <w:r w:rsidR="009F1987">
        <w:rPr>
          <w:rFonts w:cstheme="minorHAnsi"/>
          <w:sz w:val="24"/>
          <w:szCs w:val="24"/>
        </w:rPr>
        <w:t>s</w:t>
      </w:r>
      <w:r w:rsidR="00E03DEE">
        <w:rPr>
          <w:rFonts w:cstheme="minorHAnsi"/>
          <w:sz w:val="24"/>
          <w:szCs w:val="24"/>
        </w:rPr>
        <w:t xml:space="preserve">. </w:t>
      </w:r>
      <w:r>
        <w:rPr>
          <w:rFonts w:cstheme="minorHAnsi"/>
          <w:sz w:val="24"/>
          <w:szCs w:val="24"/>
        </w:rPr>
        <w:t>The “% BH MM Carved Out” is calculated using</w:t>
      </w:r>
      <w:r w:rsidR="00E03DEE">
        <w:rPr>
          <w:rFonts w:cstheme="minorHAnsi"/>
          <w:sz w:val="24"/>
          <w:szCs w:val="24"/>
        </w:rPr>
        <w:t xml:space="preserve"> reported member months with BH carve outs in </w:t>
      </w:r>
      <w:r w:rsidR="009F1987" w:rsidRPr="009F1987">
        <w:rPr>
          <w:rFonts w:cstheme="minorHAnsi"/>
          <w:i/>
          <w:iCs/>
          <w:sz w:val="24"/>
          <w:szCs w:val="24"/>
        </w:rPr>
        <w:t>T</w:t>
      </w:r>
      <w:r w:rsidR="00E03DEE" w:rsidRPr="009F1987">
        <w:rPr>
          <w:rFonts w:cstheme="minorHAnsi"/>
          <w:i/>
          <w:iCs/>
          <w:sz w:val="24"/>
          <w:szCs w:val="24"/>
        </w:rPr>
        <w:t>able A.3</w:t>
      </w:r>
      <w:r w:rsidR="00E03DEE">
        <w:rPr>
          <w:rFonts w:cstheme="minorHAnsi"/>
          <w:sz w:val="24"/>
          <w:szCs w:val="24"/>
        </w:rPr>
        <w:t xml:space="preserve"> of the TME-APM submission and total reported commercial partial member months. </w:t>
      </w:r>
    </w:p>
    <w:p w14:paraId="416489A3" w14:textId="66C75B39" w:rsidR="00D37EAA" w:rsidRDefault="00997784" w:rsidP="00997784">
      <w:pPr>
        <w:tabs>
          <w:tab w:val="left" w:pos="936"/>
        </w:tabs>
        <w:rPr>
          <w:rFonts w:cstheme="minorHAnsi"/>
          <w:sz w:val="24"/>
          <w:szCs w:val="24"/>
        </w:rPr>
      </w:pPr>
      <w:r>
        <w:rPr>
          <w:rFonts w:cstheme="minorHAnsi"/>
          <w:sz w:val="24"/>
          <w:szCs w:val="24"/>
        </w:rPr>
        <w:t xml:space="preserve">For payers with only commercial partial business, </w:t>
      </w:r>
      <w:r w:rsidR="008A41E4">
        <w:rPr>
          <w:rFonts w:cstheme="minorHAnsi"/>
          <w:sz w:val="24"/>
          <w:szCs w:val="24"/>
        </w:rPr>
        <w:t>this methodology uses</w:t>
      </w:r>
      <w:r w:rsidR="00D37EAA">
        <w:rPr>
          <w:rFonts w:cstheme="minorHAnsi"/>
          <w:sz w:val="24"/>
          <w:szCs w:val="24"/>
        </w:rPr>
        <w:t xml:space="preserve"> an all-payer market average to gross up carved out services to the full claim amount. </w:t>
      </w:r>
    </w:p>
    <w:p w14:paraId="676923E2" w14:textId="79CDE082" w:rsidR="00703E0D" w:rsidRPr="00703E0D" w:rsidRDefault="00703E0D" w:rsidP="00703E0D">
      <w:pPr>
        <w:pStyle w:val="ListParagraph"/>
        <w:numPr>
          <w:ilvl w:val="1"/>
          <w:numId w:val="1"/>
        </w:numPr>
        <w:tabs>
          <w:tab w:val="left" w:pos="936"/>
        </w:tabs>
        <w:rPr>
          <w:rFonts w:cstheme="minorHAnsi"/>
          <w:i/>
          <w:iCs/>
          <w:sz w:val="24"/>
          <w:szCs w:val="24"/>
        </w:rPr>
      </w:pPr>
      <w:r w:rsidRPr="00703E0D">
        <w:rPr>
          <w:rFonts w:cstheme="minorHAnsi"/>
          <w:i/>
          <w:iCs/>
          <w:sz w:val="24"/>
          <w:szCs w:val="24"/>
        </w:rPr>
        <w:t>‘Other’ Carved Out Services</w:t>
      </w:r>
    </w:p>
    <w:p w14:paraId="5675A1D2" w14:textId="5B504011" w:rsidR="00703E0D" w:rsidRPr="00703E0D" w:rsidRDefault="00703E0D" w:rsidP="00703E0D">
      <w:pPr>
        <w:rPr>
          <w:sz w:val="24"/>
          <w:szCs w:val="24"/>
        </w:rPr>
      </w:pPr>
      <w:r w:rsidRPr="00703E0D">
        <w:rPr>
          <w:sz w:val="24"/>
          <w:szCs w:val="24"/>
        </w:rPr>
        <w:t xml:space="preserve">The services explicitly reported in the ‘Other’ carve-out category in the 2020 TME-APM submission were dental and vision services. Because the TME-APM data collection only captures medical claims, not dental and vision spending information, CHIA will not perform a gross-up calculation for payers who reported these </w:t>
      </w:r>
      <w:r w:rsidR="002F7B89">
        <w:rPr>
          <w:sz w:val="24"/>
          <w:szCs w:val="24"/>
        </w:rPr>
        <w:t>services</w:t>
      </w:r>
      <w:r w:rsidRPr="00703E0D">
        <w:rPr>
          <w:sz w:val="24"/>
          <w:szCs w:val="24"/>
        </w:rPr>
        <w:t xml:space="preserve">. </w:t>
      </w:r>
    </w:p>
    <w:p w14:paraId="493DDAFD" w14:textId="127FE482" w:rsidR="00D37EAA" w:rsidRDefault="00D37EAA" w:rsidP="00D37EAA">
      <w:pPr>
        <w:pStyle w:val="ListParagraph"/>
        <w:numPr>
          <w:ilvl w:val="0"/>
          <w:numId w:val="1"/>
        </w:numPr>
        <w:tabs>
          <w:tab w:val="left" w:pos="936"/>
        </w:tabs>
        <w:rPr>
          <w:rFonts w:cstheme="minorHAnsi"/>
          <w:b/>
          <w:bCs/>
          <w:sz w:val="24"/>
          <w:szCs w:val="24"/>
        </w:rPr>
      </w:pPr>
      <w:r w:rsidRPr="00D37EAA">
        <w:rPr>
          <w:rFonts w:cstheme="minorHAnsi"/>
          <w:b/>
          <w:bCs/>
          <w:sz w:val="24"/>
          <w:szCs w:val="24"/>
        </w:rPr>
        <w:lastRenderedPageBreak/>
        <w:t>Conclusion</w:t>
      </w:r>
    </w:p>
    <w:p w14:paraId="17DFBE0E" w14:textId="1C0B274A" w:rsidR="009F1987" w:rsidRPr="00D37EAA" w:rsidRDefault="00F74613" w:rsidP="00D37EAA">
      <w:pPr>
        <w:tabs>
          <w:tab w:val="left" w:pos="936"/>
        </w:tabs>
        <w:rPr>
          <w:rFonts w:cstheme="minorHAnsi"/>
          <w:sz w:val="24"/>
          <w:szCs w:val="24"/>
        </w:rPr>
      </w:pPr>
      <w:r>
        <w:rPr>
          <w:rFonts w:cstheme="minorHAnsi"/>
          <w:sz w:val="24"/>
          <w:szCs w:val="24"/>
        </w:rPr>
        <w:t>The revised methodology outlined above does not impact how payers submit TME-APM data to CHIA</w:t>
      </w:r>
      <w:r w:rsidR="00703E0D">
        <w:rPr>
          <w:rFonts w:cstheme="minorHAnsi"/>
          <w:sz w:val="24"/>
          <w:szCs w:val="24"/>
        </w:rPr>
        <w:t xml:space="preserve">. </w:t>
      </w:r>
      <w:r w:rsidR="0058733B">
        <w:rPr>
          <w:rFonts w:cstheme="minorHAnsi"/>
          <w:sz w:val="24"/>
          <w:szCs w:val="24"/>
        </w:rPr>
        <w:t>T</w:t>
      </w:r>
      <w:r>
        <w:rPr>
          <w:rFonts w:cstheme="minorHAnsi"/>
          <w:sz w:val="24"/>
          <w:szCs w:val="24"/>
        </w:rPr>
        <w:t>he</w:t>
      </w:r>
      <w:r w:rsidR="0058733B">
        <w:rPr>
          <w:rFonts w:cstheme="minorHAnsi"/>
          <w:sz w:val="24"/>
          <w:szCs w:val="24"/>
        </w:rPr>
        <w:t xml:space="preserve"> targeted approach of the revised </w:t>
      </w:r>
      <w:r>
        <w:rPr>
          <w:rFonts w:cstheme="minorHAnsi"/>
          <w:sz w:val="24"/>
          <w:szCs w:val="24"/>
        </w:rPr>
        <w:t xml:space="preserve">methodology </w:t>
      </w:r>
      <w:r w:rsidR="0058733B">
        <w:rPr>
          <w:rFonts w:cstheme="minorHAnsi"/>
          <w:sz w:val="24"/>
          <w:szCs w:val="24"/>
        </w:rPr>
        <w:t xml:space="preserve">will </w:t>
      </w:r>
      <w:r>
        <w:rPr>
          <w:rFonts w:cstheme="minorHAnsi"/>
          <w:sz w:val="24"/>
          <w:szCs w:val="24"/>
        </w:rPr>
        <w:t>allow CHIA to be more precise</w:t>
      </w:r>
      <w:r w:rsidR="0058733B">
        <w:rPr>
          <w:rFonts w:cstheme="minorHAnsi"/>
          <w:sz w:val="24"/>
          <w:szCs w:val="24"/>
        </w:rPr>
        <w:t xml:space="preserve"> in the measurement of commercial spending </w:t>
      </w:r>
      <w:r w:rsidR="00703E0D">
        <w:rPr>
          <w:rFonts w:cstheme="minorHAnsi"/>
          <w:sz w:val="24"/>
          <w:szCs w:val="24"/>
        </w:rPr>
        <w:t xml:space="preserve">by </w:t>
      </w:r>
      <w:r w:rsidR="0058733B">
        <w:rPr>
          <w:rFonts w:cstheme="minorHAnsi"/>
          <w:sz w:val="24"/>
          <w:szCs w:val="24"/>
        </w:rPr>
        <w:t>leverag</w:t>
      </w:r>
      <w:r w:rsidR="00703E0D">
        <w:rPr>
          <w:rFonts w:cstheme="minorHAnsi"/>
          <w:sz w:val="24"/>
          <w:szCs w:val="24"/>
        </w:rPr>
        <w:t>ing</w:t>
      </w:r>
      <w:r w:rsidR="0058733B">
        <w:rPr>
          <w:rFonts w:cstheme="minorHAnsi"/>
          <w:sz w:val="24"/>
          <w:szCs w:val="24"/>
        </w:rPr>
        <w:t xml:space="preserve"> more detailed data points</w:t>
      </w:r>
      <w:r w:rsidR="00703E0D">
        <w:rPr>
          <w:rFonts w:cstheme="minorHAnsi"/>
          <w:sz w:val="24"/>
          <w:szCs w:val="24"/>
        </w:rPr>
        <w:t xml:space="preserve"> collected in both the TME-APM and PCBH data submissions</w:t>
      </w:r>
      <w:r w:rsidR="0058733B">
        <w:rPr>
          <w:rFonts w:cstheme="minorHAnsi"/>
          <w:sz w:val="24"/>
          <w:szCs w:val="24"/>
        </w:rPr>
        <w:t xml:space="preserve"> to gross up only services for which carve-outs are reported.</w:t>
      </w:r>
      <w:r w:rsidR="00703E0D">
        <w:rPr>
          <w:rFonts w:cstheme="minorHAnsi"/>
          <w:sz w:val="24"/>
          <w:szCs w:val="24"/>
        </w:rPr>
        <w:t xml:space="preserve"> </w:t>
      </w:r>
      <w:r w:rsidR="009F1987">
        <w:rPr>
          <w:rFonts w:cstheme="minorHAnsi"/>
          <w:sz w:val="24"/>
          <w:szCs w:val="24"/>
        </w:rPr>
        <w:t>For any questions regarding this updated methodology, please reach out to Lauren Coakley (</w:t>
      </w:r>
      <w:hyperlink r:id="rId9" w:history="1">
        <w:r w:rsidR="009F1987" w:rsidRPr="00742C56">
          <w:rPr>
            <w:rStyle w:val="Hyperlink"/>
            <w:rFonts w:cstheme="minorHAnsi"/>
            <w:sz w:val="24"/>
            <w:szCs w:val="24"/>
          </w:rPr>
          <w:t>lauren.coakley@chiamass.gov</w:t>
        </w:r>
      </w:hyperlink>
      <w:r w:rsidR="009F1987">
        <w:rPr>
          <w:rFonts w:cstheme="minorHAnsi"/>
          <w:sz w:val="24"/>
          <w:szCs w:val="24"/>
        </w:rPr>
        <w:t xml:space="preserve">). </w:t>
      </w:r>
    </w:p>
    <w:sectPr w:rsidR="009F1987" w:rsidRPr="00D37E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BD57" w14:textId="77777777" w:rsidR="009A1D10" w:rsidRDefault="009A1D10" w:rsidP="00997784">
      <w:pPr>
        <w:spacing w:after="0" w:line="240" w:lineRule="auto"/>
      </w:pPr>
      <w:r>
        <w:separator/>
      </w:r>
    </w:p>
  </w:endnote>
  <w:endnote w:type="continuationSeparator" w:id="0">
    <w:p w14:paraId="5AAD076D" w14:textId="77777777" w:rsidR="009A1D10" w:rsidRDefault="009A1D10" w:rsidP="0099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722B" w14:textId="77777777" w:rsidR="009A1D10" w:rsidRDefault="009A1D10" w:rsidP="00997784">
      <w:pPr>
        <w:spacing w:after="0" w:line="240" w:lineRule="auto"/>
      </w:pPr>
      <w:r>
        <w:separator/>
      </w:r>
    </w:p>
  </w:footnote>
  <w:footnote w:type="continuationSeparator" w:id="0">
    <w:p w14:paraId="4326FC0D" w14:textId="77777777" w:rsidR="009A1D10" w:rsidRDefault="009A1D10" w:rsidP="00997784">
      <w:pPr>
        <w:spacing w:after="0" w:line="240" w:lineRule="auto"/>
      </w:pPr>
      <w:r>
        <w:continuationSeparator/>
      </w:r>
    </w:p>
  </w:footnote>
  <w:footnote w:id="1">
    <w:p w14:paraId="7EEFD57E" w14:textId="028737A2" w:rsidR="00703E0D" w:rsidRDefault="00703E0D">
      <w:pPr>
        <w:pStyle w:val="FootnoteText"/>
      </w:pPr>
      <w:r>
        <w:rPr>
          <w:rStyle w:val="FootnoteReference"/>
        </w:rPr>
        <w:footnoteRef/>
      </w:r>
      <w:r>
        <w:t xml:space="preserve"> ‘Other Medical’ TME spending includes services such as durable medical equipment, prosthetics, labs, and other supplies.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5867"/>
    <w:multiLevelType w:val="multilevel"/>
    <w:tmpl w:val="178C9A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0FB06D6"/>
    <w:multiLevelType w:val="multilevel"/>
    <w:tmpl w:val="E2A21B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852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B23177C"/>
    <w:multiLevelType w:val="hybridMultilevel"/>
    <w:tmpl w:val="6C020422"/>
    <w:lvl w:ilvl="0" w:tplc="EF1E1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473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4F"/>
    <w:rsid w:val="00020F73"/>
    <w:rsid w:val="000874F0"/>
    <w:rsid w:val="000C1EA7"/>
    <w:rsid w:val="000C2ACF"/>
    <w:rsid w:val="000C56F2"/>
    <w:rsid w:val="000E71FC"/>
    <w:rsid w:val="00104E5D"/>
    <w:rsid w:val="00177D06"/>
    <w:rsid w:val="00185908"/>
    <w:rsid w:val="001B0828"/>
    <w:rsid w:val="001F571B"/>
    <w:rsid w:val="0026764B"/>
    <w:rsid w:val="002B2AF4"/>
    <w:rsid w:val="002F7B89"/>
    <w:rsid w:val="003C09F1"/>
    <w:rsid w:val="004B36F0"/>
    <w:rsid w:val="005411C5"/>
    <w:rsid w:val="00573B91"/>
    <w:rsid w:val="00581901"/>
    <w:rsid w:val="0058733B"/>
    <w:rsid w:val="005963B1"/>
    <w:rsid w:val="006324E5"/>
    <w:rsid w:val="0064434F"/>
    <w:rsid w:val="00656C03"/>
    <w:rsid w:val="0067255F"/>
    <w:rsid w:val="006C14DD"/>
    <w:rsid w:val="006D7257"/>
    <w:rsid w:val="00703E0D"/>
    <w:rsid w:val="007D0DEF"/>
    <w:rsid w:val="007D5F74"/>
    <w:rsid w:val="008A41E4"/>
    <w:rsid w:val="00997784"/>
    <w:rsid w:val="009A1D10"/>
    <w:rsid w:val="009F1987"/>
    <w:rsid w:val="00A10FDE"/>
    <w:rsid w:val="00A606D3"/>
    <w:rsid w:val="00A7456C"/>
    <w:rsid w:val="00AF50EF"/>
    <w:rsid w:val="00B316EC"/>
    <w:rsid w:val="00B64FB7"/>
    <w:rsid w:val="00B769EE"/>
    <w:rsid w:val="00B9090A"/>
    <w:rsid w:val="00BD0C32"/>
    <w:rsid w:val="00C76686"/>
    <w:rsid w:val="00CA1828"/>
    <w:rsid w:val="00D32097"/>
    <w:rsid w:val="00D37EAA"/>
    <w:rsid w:val="00D4594F"/>
    <w:rsid w:val="00D57CFD"/>
    <w:rsid w:val="00D85BDF"/>
    <w:rsid w:val="00DB6063"/>
    <w:rsid w:val="00DF4FAA"/>
    <w:rsid w:val="00E03DEE"/>
    <w:rsid w:val="00E1476C"/>
    <w:rsid w:val="00E55532"/>
    <w:rsid w:val="00E84114"/>
    <w:rsid w:val="00EA7878"/>
    <w:rsid w:val="00EA7A30"/>
    <w:rsid w:val="00F07512"/>
    <w:rsid w:val="00F50649"/>
    <w:rsid w:val="00F7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3797"/>
  <w15:chartTrackingRefBased/>
  <w15:docId w15:val="{DC062D25-D184-411C-AE10-C7687FE8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EC"/>
    <w:pPr>
      <w:ind w:left="720"/>
      <w:contextualSpacing/>
    </w:pPr>
  </w:style>
  <w:style w:type="table" w:styleId="TableGrid">
    <w:name w:val="Table Grid"/>
    <w:basedOn w:val="TableNormal"/>
    <w:uiPriority w:val="39"/>
    <w:rsid w:val="00997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84"/>
  </w:style>
  <w:style w:type="paragraph" w:styleId="Footer">
    <w:name w:val="footer"/>
    <w:basedOn w:val="Normal"/>
    <w:link w:val="FooterChar"/>
    <w:uiPriority w:val="99"/>
    <w:unhideWhenUsed/>
    <w:rsid w:val="0099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84"/>
  </w:style>
  <w:style w:type="character" w:styleId="CommentReference">
    <w:name w:val="annotation reference"/>
    <w:basedOn w:val="DefaultParagraphFont"/>
    <w:uiPriority w:val="99"/>
    <w:semiHidden/>
    <w:unhideWhenUsed/>
    <w:rsid w:val="00F07512"/>
    <w:rPr>
      <w:sz w:val="16"/>
      <w:szCs w:val="16"/>
    </w:rPr>
  </w:style>
  <w:style w:type="paragraph" w:styleId="CommentText">
    <w:name w:val="annotation text"/>
    <w:basedOn w:val="Normal"/>
    <w:link w:val="CommentTextChar"/>
    <w:uiPriority w:val="99"/>
    <w:unhideWhenUsed/>
    <w:rsid w:val="00F07512"/>
    <w:pPr>
      <w:spacing w:line="240" w:lineRule="auto"/>
    </w:pPr>
    <w:rPr>
      <w:sz w:val="20"/>
      <w:szCs w:val="20"/>
    </w:rPr>
  </w:style>
  <w:style w:type="character" w:customStyle="1" w:styleId="CommentTextChar">
    <w:name w:val="Comment Text Char"/>
    <w:basedOn w:val="DefaultParagraphFont"/>
    <w:link w:val="CommentText"/>
    <w:uiPriority w:val="99"/>
    <w:rsid w:val="00F07512"/>
    <w:rPr>
      <w:sz w:val="20"/>
      <w:szCs w:val="20"/>
    </w:rPr>
  </w:style>
  <w:style w:type="paragraph" w:styleId="CommentSubject">
    <w:name w:val="annotation subject"/>
    <w:basedOn w:val="CommentText"/>
    <w:next w:val="CommentText"/>
    <w:link w:val="CommentSubjectChar"/>
    <w:uiPriority w:val="99"/>
    <w:semiHidden/>
    <w:unhideWhenUsed/>
    <w:rsid w:val="00F07512"/>
    <w:rPr>
      <w:b/>
      <w:bCs/>
    </w:rPr>
  </w:style>
  <w:style w:type="character" w:customStyle="1" w:styleId="CommentSubjectChar">
    <w:name w:val="Comment Subject Char"/>
    <w:basedOn w:val="CommentTextChar"/>
    <w:link w:val="CommentSubject"/>
    <w:uiPriority w:val="99"/>
    <w:semiHidden/>
    <w:rsid w:val="00F07512"/>
    <w:rPr>
      <w:b/>
      <w:bCs/>
      <w:sz w:val="20"/>
      <w:szCs w:val="20"/>
    </w:rPr>
  </w:style>
  <w:style w:type="paragraph" w:styleId="FootnoteText">
    <w:name w:val="footnote text"/>
    <w:basedOn w:val="Normal"/>
    <w:link w:val="FootnoteTextChar"/>
    <w:uiPriority w:val="99"/>
    <w:semiHidden/>
    <w:unhideWhenUsed/>
    <w:rsid w:val="00703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E0D"/>
    <w:rPr>
      <w:sz w:val="20"/>
      <w:szCs w:val="20"/>
    </w:rPr>
  </w:style>
  <w:style w:type="character" w:styleId="FootnoteReference">
    <w:name w:val="footnote reference"/>
    <w:basedOn w:val="DefaultParagraphFont"/>
    <w:uiPriority w:val="99"/>
    <w:semiHidden/>
    <w:unhideWhenUsed/>
    <w:rsid w:val="00703E0D"/>
    <w:rPr>
      <w:vertAlign w:val="superscript"/>
    </w:rPr>
  </w:style>
  <w:style w:type="character" w:styleId="Hyperlink">
    <w:name w:val="Hyperlink"/>
    <w:basedOn w:val="DefaultParagraphFont"/>
    <w:uiPriority w:val="99"/>
    <w:unhideWhenUsed/>
    <w:rsid w:val="009F1987"/>
    <w:rPr>
      <w:color w:val="0563C1" w:themeColor="hyperlink"/>
      <w:u w:val="single"/>
    </w:rPr>
  </w:style>
  <w:style w:type="character" w:customStyle="1" w:styleId="UnresolvedMention1">
    <w:name w:val="Unresolved Mention1"/>
    <w:basedOn w:val="DefaultParagraphFont"/>
    <w:uiPriority w:val="99"/>
    <w:semiHidden/>
    <w:unhideWhenUsed/>
    <w:rsid w:val="009F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n.coakley@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6B8D-CE5E-4549-8B59-0ADEA215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Coakley</dc:creator>
  <cp:keywords/>
  <dc:description/>
  <cp:lastModifiedBy>Lauren Coakley</cp:lastModifiedBy>
  <cp:revision>2</cp:revision>
  <dcterms:created xsi:type="dcterms:W3CDTF">2021-07-28T13:46:00Z</dcterms:created>
  <dcterms:modified xsi:type="dcterms:W3CDTF">2021-07-28T13:46:00Z</dcterms:modified>
</cp:coreProperties>
</file>