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CD" w:rsidRPr="00C44067" w:rsidRDefault="005035FB" w:rsidP="00C44067">
      <w:pPr>
        <w:jc w:val="center"/>
        <w:rPr>
          <w:b/>
        </w:rPr>
      </w:pPr>
      <w:r w:rsidRPr="00C44067">
        <w:rPr>
          <w:b/>
        </w:rPr>
        <w:t>SQAC Final Report – Draft Outline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>Executive Summary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>Background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Legislative mandate and purpose</w:t>
      </w:r>
      <w:r w:rsidR="00A512DE">
        <w:t xml:space="preserve"> – how does SQAC fit in with context of health care reform, current efforts, etc.</w:t>
      </w:r>
    </w:p>
    <w:p w:rsidR="00A512DE" w:rsidRDefault="00A512DE" w:rsidP="005035FB">
      <w:pPr>
        <w:numPr>
          <w:ilvl w:val="1"/>
          <w:numId w:val="1"/>
        </w:numPr>
        <w:spacing w:after="0" w:line="240" w:lineRule="auto"/>
      </w:pPr>
      <w:r>
        <w:t>Quality Measurement 101</w:t>
      </w:r>
    </w:p>
    <w:p w:rsidR="00A512DE" w:rsidRDefault="00A512DE" w:rsidP="005035FB">
      <w:pPr>
        <w:numPr>
          <w:ilvl w:val="1"/>
          <w:numId w:val="1"/>
        </w:numPr>
        <w:spacing w:after="0" w:line="240" w:lineRule="auto"/>
      </w:pPr>
      <w:r>
        <w:t>Year 1 priorities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>Summary of first-year meeting cycle</w:t>
      </w:r>
    </w:p>
    <w:p w:rsidR="00A512DE" w:rsidRDefault="00A512DE" w:rsidP="00A512DE">
      <w:pPr>
        <w:numPr>
          <w:ilvl w:val="1"/>
          <w:numId w:val="1"/>
        </w:numPr>
        <w:spacing w:after="0" w:line="240" w:lineRule="auto"/>
      </w:pPr>
      <w:r>
        <w:t>Process (bylaws and deliverables)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Expert presenters and findings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Evaluation of mandated measures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Solicitation of public nominations for quality measures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 xml:space="preserve">Constructing the SQMS 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Describe how SQMS is structured and intended to be used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Summary of recommendations</w:t>
      </w:r>
    </w:p>
    <w:p w:rsidR="005035FB" w:rsidRDefault="005035FB" w:rsidP="005035FB">
      <w:pPr>
        <w:numPr>
          <w:ilvl w:val="2"/>
          <w:numId w:val="1"/>
        </w:numPr>
        <w:spacing w:after="0" w:line="240" w:lineRule="auto"/>
      </w:pPr>
      <w:r>
        <w:t>Mandated measures</w:t>
      </w:r>
    </w:p>
    <w:p w:rsidR="005035FB" w:rsidRDefault="005035FB" w:rsidP="005035FB">
      <w:pPr>
        <w:numPr>
          <w:ilvl w:val="2"/>
          <w:numId w:val="1"/>
        </w:numPr>
        <w:spacing w:after="0" w:line="240" w:lineRule="auto"/>
      </w:pPr>
      <w:r>
        <w:t>Non-mandated measures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>Future priorities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Recommendations to DPH regarding implementation of the SQMS</w:t>
      </w:r>
    </w:p>
    <w:p w:rsidR="005035FB" w:rsidRDefault="005035FB" w:rsidP="00131645">
      <w:pPr>
        <w:numPr>
          <w:ilvl w:val="1"/>
          <w:numId w:val="1"/>
        </w:numPr>
        <w:spacing w:after="0" w:line="240" w:lineRule="auto"/>
      </w:pPr>
      <w:r>
        <w:t xml:space="preserve">Recommendations to DPH regarding future SQAC priorities </w:t>
      </w:r>
    </w:p>
    <w:p w:rsidR="005035FB" w:rsidRDefault="005035FB" w:rsidP="005035FB">
      <w:pPr>
        <w:numPr>
          <w:ilvl w:val="0"/>
          <w:numId w:val="1"/>
        </w:numPr>
        <w:spacing w:after="0" w:line="240" w:lineRule="auto"/>
      </w:pPr>
      <w:r>
        <w:t>Appendices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proofErr w:type="spellStart"/>
      <w:r>
        <w:t>Ch</w:t>
      </w:r>
      <w:proofErr w:type="spellEnd"/>
      <w:r>
        <w:t xml:space="preserve"> 288 Section 54 statute as amended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SQAC bylaws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Universal catalog (including indicators of measure utilization by state agencies)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Lists of nominated, proposed, and recommended measures</w:t>
      </w:r>
    </w:p>
    <w:p w:rsidR="005035FB" w:rsidRDefault="005035FB" w:rsidP="005035FB">
      <w:pPr>
        <w:numPr>
          <w:ilvl w:val="1"/>
          <w:numId w:val="1"/>
        </w:numPr>
        <w:spacing w:after="0" w:line="240" w:lineRule="auto"/>
      </w:pPr>
      <w:r>
        <w:t>Evidence evaluations of measures</w:t>
      </w:r>
    </w:p>
    <w:sectPr w:rsidR="00503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FF" w:rsidRDefault="00836BFF" w:rsidP="00C44067">
      <w:pPr>
        <w:spacing w:after="0" w:line="240" w:lineRule="auto"/>
      </w:pPr>
      <w:r>
        <w:separator/>
      </w:r>
    </w:p>
  </w:endnote>
  <w:endnote w:type="continuationSeparator" w:id="0">
    <w:p w:rsidR="00836BFF" w:rsidRDefault="00836BFF" w:rsidP="00C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34" w:rsidRDefault="00704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34" w:rsidRDefault="00704C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34" w:rsidRDefault="00704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FF" w:rsidRDefault="00836BFF" w:rsidP="00C44067">
      <w:pPr>
        <w:spacing w:after="0" w:line="240" w:lineRule="auto"/>
      </w:pPr>
      <w:r>
        <w:separator/>
      </w:r>
    </w:p>
  </w:footnote>
  <w:footnote w:type="continuationSeparator" w:id="0">
    <w:p w:rsidR="00836BFF" w:rsidRDefault="00836BFF" w:rsidP="00C4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34" w:rsidRDefault="00704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67" w:rsidRDefault="00A512DE" w:rsidP="00C44067">
    <w:pPr>
      <w:pStyle w:val="Header"/>
    </w:pPr>
    <w:r>
      <w:t>DRAFT</w:t>
    </w:r>
    <w:r>
      <w:tab/>
    </w:r>
    <w:r>
      <w:tab/>
    </w:r>
    <w:r w:rsidR="00704C34">
      <w:t>8/6/2012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34" w:rsidRDefault="00704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509F"/>
    <w:multiLevelType w:val="hybridMultilevel"/>
    <w:tmpl w:val="54EC4D68"/>
    <w:lvl w:ilvl="0" w:tplc="7C24F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FB"/>
    <w:rsid w:val="00131645"/>
    <w:rsid w:val="003C6BCD"/>
    <w:rsid w:val="00474C2C"/>
    <w:rsid w:val="005035FB"/>
    <w:rsid w:val="0053691D"/>
    <w:rsid w:val="005634A6"/>
    <w:rsid w:val="00704C34"/>
    <w:rsid w:val="007D29D1"/>
    <w:rsid w:val="00836BFF"/>
    <w:rsid w:val="00A512DE"/>
    <w:rsid w:val="00B0153F"/>
    <w:rsid w:val="00B260F7"/>
    <w:rsid w:val="00C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4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6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4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6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2</cp:revision>
  <dcterms:created xsi:type="dcterms:W3CDTF">2012-08-06T21:35:00Z</dcterms:created>
  <dcterms:modified xsi:type="dcterms:W3CDTF">2012-08-06T21:35:00Z</dcterms:modified>
</cp:coreProperties>
</file>