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C34CC" w14:textId="71C36D8A" w:rsidR="00F92117" w:rsidRPr="006558E6" w:rsidRDefault="00F92117" w:rsidP="00F92117">
      <w:pPr>
        <w:jc w:val="center"/>
        <w:outlineLvl w:val="0"/>
        <w:rPr>
          <w:b/>
        </w:rPr>
      </w:pPr>
      <w:r>
        <w:rPr>
          <w:b/>
        </w:rPr>
        <w:t xml:space="preserve">ADMINISTRATIVE BULLETIN </w:t>
      </w:r>
      <w:r w:rsidR="00254440">
        <w:rPr>
          <w:b/>
        </w:rPr>
        <w:t>20</w:t>
      </w:r>
      <w:r>
        <w:rPr>
          <w:b/>
        </w:rPr>
        <w:t>-</w:t>
      </w:r>
      <w:r w:rsidR="00254440">
        <w:rPr>
          <w:b/>
        </w:rPr>
        <w:t>08</w:t>
      </w:r>
      <w:r w:rsidR="0003455F">
        <w:rPr>
          <w:b/>
        </w:rPr>
        <w:t xml:space="preserve"> </w:t>
      </w:r>
    </w:p>
    <w:p w14:paraId="28227138" w14:textId="77777777" w:rsidR="00F92117" w:rsidRPr="006558E6" w:rsidRDefault="00F92117" w:rsidP="00F92117">
      <w:pPr>
        <w:jc w:val="center"/>
        <w:rPr>
          <w:b/>
        </w:rPr>
      </w:pPr>
    </w:p>
    <w:p w14:paraId="4C5E359A" w14:textId="77777777" w:rsidR="00F92117" w:rsidRPr="006558E6" w:rsidRDefault="00F92117" w:rsidP="00F92117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957 CMR </w:t>
      </w:r>
      <w:r w:rsidR="0041649D">
        <w:rPr>
          <w:b/>
          <w:bCs/>
          <w:sz w:val="28"/>
          <w:szCs w:val="28"/>
        </w:rPr>
        <w:t>9</w:t>
      </w:r>
      <w:r w:rsidRPr="006558E6">
        <w:rPr>
          <w:b/>
          <w:bCs/>
          <w:sz w:val="28"/>
          <w:szCs w:val="28"/>
        </w:rPr>
        <w:t xml:space="preserve">.00: </w:t>
      </w:r>
      <w:bookmarkStart w:id="0" w:name="OLE_LINK12"/>
      <w:bookmarkStart w:id="1" w:name="OLE_LINK13"/>
      <w:bookmarkStart w:id="2" w:name="OLE_LINK14"/>
      <w:bookmarkStart w:id="3" w:name="_GoBack"/>
      <w:r w:rsidR="0041649D" w:rsidRPr="0041649D">
        <w:rPr>
          <w:b/>
          <w:bCs/>
          <w:sz w:val="28"/>
          <w:szCs w:val="28"/>
        </w:rPr>
        <w:t>H</w:t>
      </w:r>
      <w:r w:rsidR="0041649D">
        <w:rPr>
          <w:b/>
          <w:bCs/>
          <w:sz w:val="28"/>
          <w:szCs w:val="28"/>
        </w:rPr>
        <w:t>ospital</w:t>
      </w:r>
      <w:r w:rsidR="0041649D" w:rsidRPr="0041649D">
        <w:rPr>
          <w:b/>
          <w:bCs/>
          <w:sz w:val="28"/>
          <w:szCs w:val="28"/>
        </w:rPr>
        <w:t xml:space="preserve"> F</w:t>
      </w:r>
      <w:r w:rsidR="0041649D">
        <w:rPr>
          <w:b/>
          <w:bCs/>
          <w:sz w:val="28"/>
          <w:szCs w:val="28"/>
        </w:rPr>
        <w:t>inancial</w:t>
      </w:r>
      <w:r w:rsidR="0041649D" w:rsidRPr="0041649D">
        <w:rPr>
          <w:b/>
          <w:bCs/>
          <w:sz w:val="28"/>
          <w:szCs w:val="28"/>
        </w:rPr>
        <w:t xml:space="preserve"> D</w:t>
      </w:r>
      <w:r w:rsidR="0041649D">
        <w:rPr>
          <w:b/>
          <w:bCs/>
          <w:sz w:val="28"/>
          <w:szCs w:val="28"/>
        </w:rPr>
        <w:t>ata</w:t>
      </w:r>
      <w:r w:rsidR="0041649D" w:rsidRPr="0041649D">
        <w:rPr>
          <w:b/>
          <w:bCs/>
          <w:sz w:val="28"/>
          <w:szCs w:val="28"/>
        </w:rPr>
        <w:t xml:space="preserve"> R</w:t>
      </w:r>
      <w:r w:rsidR="0041649D">
        <w:rPr>
          <w:b/>
          <w:bCs/>
          <w:sz w:val="28"/>
          <w:szCs w:val="28"/>
        </w:rPr>
        <w:t xml:space="preserve">eporting </w:t>
      </w:r>
      <w:r w:rsidR="0041649D" w:rsidRPr="0041649D">
        <w:rPr>
          <w:b/>
          <w:bCs/>
          <w:sz w:val="28"/>
          <w:szCs w:val="28"/>
        </w:rPr>
        <w:t>R</w:t>
      </w:r>
      <w:r w:rsidR="0041649D">
        <w:rPr>
          <w:b/>
          <w:bCs/>
          <w:sz w:val="28"/>
          <w:szCs w:val="28"/>
        </w:rPr>
        <w:t>equirements</w:t>
      </w:r>
      <w:bookmarkEnd w:id="0"/>
      <w:bookmarkEnd w:id="1"/>
      <w:bookmarkEnd w:id="2"/>
      <w:bookmarkEnd w:id="3"/>
    </w:p>
    <w:p w14:paraId="553B40FE" w14:textId="77777777" w:rsidR="00F92117" w:rsidRPr="006558E6" w:rsidRDefault="00F92117" w:rsidP="00F92117">
      <w:pPr>
        <w:jc w:val="center"/>
      </w:pPr>
    </w:p>
    <w:p w14:paraId="5D392744" w14:textId="62C3039C" w:rsidR="00F92117" w:rsidRPr="00B94390" w:rsidRDefault="008E236F" w:rsidP="00F92117">
      <w:pPr>
        <w:jc w:val="center"/>
        <w:rPr>
          <w:b/>
        </w:rPr>
      </w:pPr>
      <w:r>
        <w:rPr>
          <w:b/>
        </w:rPr>
        <w:t xml:space="preserve">Effective </w:t>
      </w:r>
      <w:r w:rsidR="007F5869">
        <w:rPr>
          <w:b/>
        </w:rPr>
        <w:t xml:space="preserve">August </w:t>
      </w:r>
      <w:r w:rsidR="00254440">
        <w:rPr>
          <w:b/>
        </w:rPr>
        <w:t>31</w:t>
      </w:r>
      <w:r w:rsidR="00F92117" w:rsidRPr="00585E99">
        <w:rPr>
          <w:b/>
        </w:rPr>
        <w:t>,</w:t>
      </w:r>
      <w:r w:rsidR="00F92117" w:rsidRPr="00B94390">
        <w:rPr>
          <w:b/>
        </w:rPr>
        <w:t xml:space="preserve"> 20</w:t>
      </w:r>
      <w:r w:rsidR="0041649D">
        <w:rPr>
          <w:b/>
        </w:rPr>
        <w:t>20</w:t>
      </w:r>
    </w:p>
    <w:p w14:paraId="74A4311E" w14:textId="77777777" w:rsidR="00F92117" w:rsidRPr="006558E6" w:rsidRDefault="00F92117" w:rsidP="00F92117"/>
    <w:p w14:paraId="59FD4ECC" w14:textId="3E44042A" w:rsidR="00F92117" w:rsidRDefault="00F92117" w:rsidP="00F92117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Center for Health Information and Analysis (CHIA) is issuing this Administrative Bulletin pursuant to 957 CMR </w:t>
      </w:r>
      <w:r w:rsidR="0041649D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41649D">
        <w:rPr>
          <w:sz w:val="22"/>
          <w:szCs w:val="22"/>
        </w:rPr>
        <w:t xml:space="preserve">11 </w:t>
      </w:r>
      <w:r>
        <w:rPr>
          <w:sz w:val="22"/>
          <w:szCs w:val="22"/>
        </w:rPr>
        <w:t xml:space="preserve">to notify </w:t>
      </w:r>
      <w:r w:rsidR="00B64BDD">
        <w:rPr>
          <w:sz w:val="22"/>
          <w:szCs w:val="22"/>
        </w:rPr>
        <w:t>H</w:t>
      </w:r>
      <w:r>
        <w:rPr>
          <w:sz w:val="22"/>
          <w:szCs w:val="22"/>
        </w:rPr>
        <w:t xml:space="preserve">ospitals required to submit data to CHIA in accordance with 957 CMR </w:t>
      </w:r>
      <w:r w:rsidR="0041649D">
        <w:rPr>
          <w:sz w:val="22"/>
          <w:szCs w:val="22"/>
        </w:rPr>
        <w:t>9</w:t>
      </w:r>
      <w:r>
        <w:rPr>
          <w:sz w:val="22"/>
          <w:szCs w:val="22"/>
        </w:rPr>
        <w:t>.0</w:t>
      </w:r>
      <w:r w:rsidR="0041649D">
        <w:rPr>
          <w:sz w:val="22"/>
          <w:szCs w:val="22"/>
        </w:rPr>
        <w:t>7</w:t>
      </w:r>
      <w:r>
        <w:rPr>
          <w:sz w:val="22"/>
          <w:szCs w:val="22"/>
        </w:rPr>
        <w:t xml:space="preserve"> of changes to the </w:t>
      </w:r>
      <w:r w:rsidR="0041649D">
        <w:rPr>
          <w:sz w:val="22"/>
          <w:szCs w:val="22"/>
        </w:rPr>
        <w:t xml:space="preserve">Quarterly and Annual </w:t>
      </w:r>
      <w:r w:rsidR="0041649D" w:rsidRPr="0041649D">
        <w:rPr>
          <w:sz w:val="22"/>
          <w:szCs w:val="22"/>
        </w:rPr>
        <w:t>Standardized Financial Filing</w:t>
      </w:r>
      <w:r w:rsidR="0041649D">
        <w:rPr>
          <w:sz w:val="22"/>
          <w:szCs w:val="22"/>
        </w:rPr>
        <w:t xml:space="preserve"> requirements</w:t>
      </w:r>
      <w:r w:rsidR="00F46FF6">
        <w:rPr>
          <w:sz w:val="22"/>
          <w:szCs w:val="22"/>
        </w:rPr>
        <w:t xml:space="preserve"> for </w:t>
      </w:r>
      <w:r w:rsidR="00F85B2A" w:rsidRPr="00F85B2A">
        <w:rPr>
          <w:sz w:val="22"/>
          <w:szCs w:val="22"/>
        </w:rPr>
        <w:t>Acute Hospital</w:t>
      </w:r>
      <w:r w:rsidR="00F85B2A">
        <w:rPr>
          <w:sz w:val="22"/>
          <w:szCs w:val="22"/>
        </w:rPr>
        <w:t>s</w:t>
      </w:r>
      <w:proofErr w:type="gramStart"/>
      <w:r w:rsidR="00F85B2A">
        <w:rPr>
          <w:sz w:val="22"/>
          <w:szCs w:val="22"/>
        </w:rPr>
        <w:t>,</w:t>
      </w:r>
      <w:r w:rsidR="00F85B2A" w:rsidRPr="00F85B2A">
        <w:rPr>
          <w:sz w:val="22"/>
          <w:szCs w:val="22"/>
        </w:rPr>
        <w:t xml:space="preserve">  Physician</w:t>
      </w:r>
      <w:proofErr w:type="gramEnd"/>
      <w:r w:rsidR="00F85B2A" w:rsidRPr="00F85B2A">
        <w:rPr>
          <w:sz w:val="22"/>
          <w:szCs w:val="22"/>
        </w:rPr>
        <w:t xml:space="preserve"> Organization</w:t>
      </w:r>
      <w:r w:rsidR="00F85B2A">
        <w:rPr>
          <w:sz w:val="22"/>
          <w:szCs w:val="22"/>
        </w:rPr>
        <w:t>s</w:t>
      </w:r>
      <w:r w:rsidR="00F85B2A" w:rsidRPr="00F85B2A">
        <w:rPr>
          <w:sz w:val="22"/>
          <w:szCs w:val="22"/>
        </w:rPr>
        <w:t>, and their Parent Organization</w:t>
      </w:r>
      <w:r w:rsidR="0041649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C4CE89" w14:textId="77777777" w:rsidR="00FC1E92" w:rsidRDefault="00FC1E92" w:rsidP="00F92117">
      <w:pPr>
        <w:pStyle w:val="NormalSS"/>
        <w:ind w:firstLine="0"/>
        <w:jc w:val="left"/>
        <w:rPr>
          <w:sz w:val="22"/>
          <w:szCs w:val="22"/>
        </w:rPr>
      </w:pPr>
    </w:p>
    <w:p w14:paraId="4A344339" w14:textId="77777777" w:rsidR="00E04FAA" w:rsidRDefault="00F92117" w:rsidP="001F144F">
      <w:pPr>
        <w:pStyle w:val="NormalSS"/>
        <w:ind w:firstLine="0"/>
        <w:jc w:val="left"/>
        <w:rPr>
          <w:sz w:val="22"/>
          <w:szCs w:val="22"/>
        </w:rPr>
      </w:pPr>
      <w:r w:rsidRPr="00FC1E92">
        <w:rPr>
          <w:sz w:val="22"/>
          <w:szCs w:val="22"/>
        </w:rPr>
        <w:t xml:space="preserve">CHIA updated </w:t>
      </w:r>
      <w:r w:rsidR="0041649D" w:rsidRPr="00FC1E92">
        <w:rPr>
          <w:sz w:val="22"/>
          <w:szCs w:val="22"/>
        </w:rPr>
        <w:t>the</w:t>
      </w:r>
      <w:r w:rsidR="0041649D">
        <w:rPr>
          <w:sz w:val="22"/>
          <w:szCs w:val="22"/>
        </w:rPr>
        <w:t xml:space="preserve"> quarterly and annual standardized filing template to collect </w:t>
      </w:r>
      <w:r w:rsidR="005A76AC">
        <w:rPr>
          <w:sz w:val="22"/>
          <w:szCs w:val="22"/>
        </w:rPr>
        <w:t xml:space="preserve">information related to COVID -19 </w:t>
      </w:r>
      <w:r w:rsidR="004B1979">
        <w:rPr>
          <w:sz w:val="22"/>
          <w:szCs w:val="22"/>
        </w:rPr>
        <w:t xml:space="preserve">relief </w:t>
      </w:r>
      <w:r w:rsidR="005A76AC">
        <w:rPr>
          <w:sz w:val="22"/>
          <w:szCs w:val="22"/>
        </w:rPr>
        <w:t xml:space="preserve">funding.   </w:t>
      </w:r>
    </w:p>
    <w:p w14:paraId="5203B94C" w14:textId="77777777" w:rsidR="008572E3" w:rsidRDefault="008572E3" w:rsidP="001F144F">
      <w:pPr>
        <w:pStyle w:val="NormalSS"/>
        <w:ind w:firstLine="0"/>
        <w:jc w:val="left"/>
        <w:rPr>
          <w:sz w:val="22"/>
          <w:szCs w:val="22"/>
        </w:rPr>
      </w:pPr>
    </w:p>
    <w:p w14:paraId="73E87F68" w14:textId="6E6E5867" w:rsidR="008572E3" w:rsidRDefault="008572E3" w:rsidP="001F144F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The Statement of Operations has been revised to</w:t>
      </w:r>
      <w:r w:rsidR="00192FAC">
        <w:rPr>
          <w:sz w:val="22"/>
          <w:szCs w:val="22"/>
        </w:rPr>
        <w:t xml:space="preserve"> allow</w:t>
      </w:r>
      <w:r>
        <w:rPr>
          <w:sz w:val="22"/>
          <w:szCs w:val="22"/>
        </w:rPr>
        <w:t xml:space="preserve"> </w:t>
      </w:r>
      <w:r w:rsidR="00B96030">
        <w:rPr>
          <w:sz w:val="22"/>
          <w:szCs w:val="22"/>
        </w:rPr>
        <w:t>reporting of</w:t>
      </w:r>
      <w:r>
        <w:rPr>
          <w:sz w:val="22"/>
          <w:szCs w:val="22"/>
        </w:rPr>
        <w:t xml:space="preserve"> </w:t>
      </w:r>
      <w:r w:rsidR="008031A6">
        <w:rPr>
          <w:sz w:val="22"/>
          <w:szCs w:val="22"/>
        </w:rPr>
        <w:t>aggregate federal and state</w:t>
      </w:r>
      <w:r w:rsidR="004B1979">
        <w:rPr>
          <w:sz w:val="22"/>
          <w:szCs w:val="22"/>
        </w:rPr>
        <w:t xml:space="preserve"> or other</w:t>
      </w:r>
      <w:r w:rsidR="008031A6">
        <w:rPr>
          <w:sz w:val="22"/>
          <w:szCs w:val="22"/>
        </w:rPr>
        <w:t xml:space="preserve"> </w:t>
      </w:r>
      <w:r w:rsidR="008031A6" w:rsidRPr="008031A6">
        <w:rPr>
          <w:sz w:val="22"/>
          <w:szCs w:val="22"/>
        </w:rPr>
        <w:t xml:space="preserve">COVID -19 </w:t>
      </w:r>
      <w:r w:rsidR="004B1979">
        <w:rPr>
          <w:sz w:val="22"/>
          <w:szCs w:val="22"/>
        </w:rPr>
        <w:t xml:space="preserve">relief </w:t>
      </w:r>
      <w:r w:rsidR="008031A6" w:rsidRPr="008031A6">
        <w:rPr>
          <w:sz w:val="22"/>
          <w:szCs w:val="22"/>
        </w:rPr>
        <w:t xml:space="preserve">funding </w:t>
      </w:r>
      <w:r>
        <w:rPr>
          <w:sz w:val="22"/>
          <w:szCs w:val="22"/>
        </w:rPr>
        <w:t>received</w:t>
      </w:r>
      <w:r w:rsidR="008031A6">
        <w:rPr>
          <w:sz w:val="22"/>
          <w:szCs w:val="22"/>
        </w:rPr>
        <w:t xml:space="preserve">.   These amounts will be reported as other operating revenue and are required for </w:t>
      </w:r>
      <w:r w:rsidR="008031A6" w:rsidRPr="008031A6">
        <w:rPr>
          <w:sz w:val="22"/>
          <w:szCs w:val="22"/>
        </w:rPr>
        <w:t xml:space="preserve">Acute Hospitals, Physician Organizations, and their Parent Organization. </w:t>
      </w:r>
      <w:r>
        <w:rPr>
          <w:sz w:val="22"/>
          <w:szCs w:val="22"/>
        </w:rPr>
        <w:t xml:space="preserve"> </w:t>
      </w:r>
    </w:p>
    <w:p w14:paraId="1C37DF54" w14:textId="77777777" w:rsidR="008572E3" w:rsidRDefault="008572E3" w:rsidP="001F144F">
      <w:pPr>
        <w:pStyle w:val="NormalSS"/>
        <w:ind w:firstLine="0"/>
        <w:jc w:val="left"/>
        <w:rPr>
          <w:sz w:val="22"/>
          <w:szCs w:val="22"/>
        </w:rPr>
      </w:pPr>
    </w:p>
    <w:p w14:paraId="267F62CC" w14:textId="77777777" w:rsidR="005A76AC" w:rsidRDefault="008031A6" w:rsidP="001F144F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An additional schedule has been added to report t</w:t>
      </w:r>
      <w:r w:rsidR="005A76AC">
        <w:rPr>
          <w:sz w:val="22"/>
          <w:szCs w:val="22"/>
        </w:rPr>
        <w:t xml:space="preserve">he following categories of </w:t>
      </w:r>
      <w:r w:rsidR="00D339A0">
        <w:rPr>
          <w:sz w:val="22"/>
          <w:szCs w:val="22"/>
        </w:rPr>
        <w:t>funding received by entity</w:t>
      </w:r>
      <w:r>
        <w:rPr>
          <w:sz w:val="22"/>
          <w:szCs w:val="22"/>
        </w:rPr>
        <w:t xml:space="preserve">.   This will apply to </w:t>
      </w:r>
      <w:r w:rsidRPr="008031A6">
        <w:rPr>
          <w:sz w:val="22"/>
          <w:szCs w:val="22"/>
        </w:rPr>
        <w:t>Acute Hospitals, Physician Organizations, and their Parent Organization.</w:t>
      </w:r>
    </w:p>
    <w:p w14:paraId="7FFDF84F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4D2BE47C" w14:textId="77777777" w:rsidR="005A76AC" w:rsidRDefault="00791866" w:rsidP="008031A6">
      <w:pPr>
        <w:pStyle w:val="NormalSS"/>
        <w:numPr>
          <w:ilvl w:val="0"/>
          <w:numId w:val="1"/>
        </w:numPr>
        <w:jc w:val="left"/>
        <w:rPr>
          <w:sz w:val="22"/>
          <w:szCs w:val="22"/>
        </w:rPr>
      </w:pPr>
      <w:r w:rsidRPr="00791866">
        <w:rPr>
          <w:sz w:val="22"/>
          <w:szCs w:val="22"/>
        </w:rPr>
        <w:t>CARES Act, Title VIII, Provider Relief Fund, as amended</w:t>
      </w:r>
    </w:p>
    <w:p w14:paraId="27E95791" w14:textId="77777777" w:rsidR="005A76AC" w:rsidRPr="005A76AC" w:rsidRDefault="005A76AC" w:rsidP="005A76AC">
      <w:pPr>
        <w:pStyle w:val="NormalSS"/>
        <w:rPr>
          <w:sz w:val="22"/>
          <w:szCs w:val="22"/>
        </w:rPr>
      </w:pPr>
      <w:r w:rsidRPr="005A76AC">
        <w:rPr>
          <w:sz w:val="22"/>
          <w:szCs w:val="22"/>
        </w:rPr>
        <w:t>1) $30 billion based on prior year's Medicare fee-for-service (FFS) payments</w:t>
      </w:r>
    </w:p>
    <w:p w14:paraId="3DD12C71" w14:textId="77777777" w:rsidR="005A76AC" w:rsidRPr="005A76AC" w:rsidRDefault="005A76AC" w:rsidP="005A76AC">
      <w:pPr>
        <w:pStyle w:val="NormalSS"/>
        <w:rPr>
          <w:sz w:val="22"/>
          <w:szCs w:val="22"/>
        </w:rPr>
      </w:pPr>
      <w:r w:rsidRPr="005A76AC">
        <w:rPr>
          <w:sz w:val="22"/>
          <w:szCs w:val="22"/>
        </w:rPr>
        <w:t>2) HHS's additional disbursement of $20 billion based on net patient revenue</w:t>
      </w:r>
    </w:p>
    <w:p w14:paraId="1CA2D1EE" w14:textId="77777777" w:rsidR="005A76AC" w:rsidRPr="005A76AC" w:rsidRDefault="005A76AC" w:rsidP="005A76AC">
      <w:pPr>
        <w:pStyle w:val="NormalSS"/>
        <w:rPr>
          <w:sz w:val="22"/>
          <w:szCs w:val="22"/>
        </w:rPr>
      </w:pPr>
      <w:r w:rsidRPr="005A76AC">
        <w:rPr>
          <w:sz w:val="22"/>
          <w:szCs w:val="22"/>
        </w:rPr>
        <w:t>3) HHS's additional disbursement of $12 billion for hospitals in COVID-19 high impact areas</w:t>
      </w:r>
    </w:p>
    <w:p w14:paraId="2D5C5A00" w14:textId="1A42545E" w:rsidR="005A76AC" w:rsidRPr="005A76AC" w:rsidRDefault="005A76AC" w:rsidP="005A76AC">
      <w:pPr>
        <w:pStyle w:val="NormalSS"/>
        <w:rPr>
          <w:sz w:val="22"/>
          <w:szCs w:val="22"/>
        </w:rPr>
      </w:pPr>
      <w:r w:rsidRPr="005A76AC">
        <w:rPr>
          <w:sz w:val="22"/>
          <w:szCs w:val="22"/>
        </w:rPr>
        <w:t>4) HHS's allocation for treatment of the uninsured</w:t>
      </w:r>
    </w:p>
    <w:p w14:paraId="4AF570DD" w14:textId="37CBE4F2" w:rsidR="005A76AC" w:rsidRPr="005A76AC" w:rsidRDefault="005A76AC" w:rsidP="005A76AC">
      <w:pPr>
        <w:pStyle w:val="NormalSS"/>
        <w:rPr>
          <w:sz w:val="22"/>
          <w:szCs w:val="22"/>
        </w:rPr>
      </w:pPr>
      <w:r w:rsidRPr="005A76AC">
        <w:rPr>
          <w:sz w:val="22"/>
          <w:szCs w:val="22"/>
        </w:rPr>
        <w:t>5) HHS's allocation of $13 billion for safety net hospitals</w:t>
      </w:r>
    </w:p>
    <w:p w14:paraId="44F7B756" w14:textId="77777777" w:rsidR="005A76AC" w:rsidRPr="005A76AC" w:rsidRDefault="005A76AC" w:rsidP="005A76AC">
      <w:pPr>
        <w:pStyle w:val="NormalSS"/>
        <w:rPr>
          <w:sz w:val="22"/>
          <w:szCs w:val="22"/>
        </w:rPr>
      </w:pPr>
      <w:r w:rsidRPr="005A76AC">
        <w:rPr>
          <w:sz w:val="22"/>
          <w:szCs w:val="22"/>
        </w:rPr>
        <w:t>6) HHS's second distribution of funds for hospitals in COVID-19 high impact areas</w:t>
      </w:r>
    </w:p>
    <w:p w14:paraId="6E412B0B" w14:textId="77777777" w:rsidR="005A76AC" w:rsidRPr="005A76AC" w:rsidRDefault="005A76AC" w:rsidP="005A76AC">
      <w:pPr>
        <w:pStyle w:val="NormalSS"/>
        <w:rPr>
          <w:sz w:val="22"/>
          <w:szCs w:val="22"/>
        </w:rPr>
      </w:pPr>
      <w:r w:rsidRPr="005A76AC">
        <w:rPr>
          <w:sz w:val="22"/>
          <w:szCs w:val="22"/>
        </w:rPr>
        <w:t>7) Additional funds distributed (e.g., rural allocation, other)</w:t>
      </w:r>
    </w:p>
    <w:p w14:paraId="551D25CD" w14:textId="77777777" w:rsidR="005A76AC" w:rsidRPr="005A76AC" w:rsidRDefault="005A76AC" w:rsidP="005A76AC">
      <w:pPr>
        <w:pStyle w:val="NormalSS"/>
        <w:rPr>
          <w:sz w:val="22"/>
          <w:szCs w:val="22"/>
        </w:rPr>
      </w:pPr>
    </w:p>
    <w:p w14:paraId="5A401D63" w14:textId="77777777" w:rsidR="005A76AC" w:rsidRPr="005A76AC" w:rsidRDefault="005A76AC" w:rsidP="008031A6">
      <w:pPr>
        <w:pStyle w:val="NormalSS"/>
        <w:numPr>
          <w:ilvl w:val="0"/>
          <w:numId w:val="1"/>
        </w:numPr>
        <w:rPr>
          <w:sz w:val="22"/>
          <w:szCs w:val="22"/>
        </w:rPr>
      </w:pPr>
      <w:r w:rsidRPr="005A76AC">
        <w:rPr>
          <w:sz w:val="22"/>
          <w:szCs w:val="22"/>
        </w:rPr>
        <w:t>CARES Act, Section 1102, Paycheck Protection Program, as amended</w:t>
      </w:r>
    </w:p>
    <w:p w14:paraId="68B438BA" w14:textId="77777777" w:rsidR="005A76AC" w:rsidRPr="005A76AC" w:rsidRDefault="005A76AC" w:rsidP="008031A6">
      <w:pPr>
        <w:pStyle w:val="NormalSS"/>
        <w:ind w:left="360" w:firstLine="0"/>
        <w:rPr>
          <w:sz w:val="22"/>
          <w:szCs w:val="22"/>
        </w:rPr>
      </w:pPr>
      <w:r w:rsidRPr="00585E99">
        <w:rPr>
          <w:sz w:val="22"/>
          <w:szCs w:val="22"/>
        </w:rPr>
        <w:t xml:space="preserve">Loan funds used to retain workers, maintain payroll, and pay health care benefits. Funds may also </w:t>
      </w:r>
      <w:r w:rsidR="00E376CC" w:rsidRPr="00585E99">
        <w:rPr>
          <w:sz w:val="22"/>
          <w:szCs w:val="22"/>
        </w:rPr>
        <w:t>be used</w:t>
      </w:r>
      <w:r w:rsidRPr="00585E99">
        <w:rPr>
          <w:sz w:val="22"/>
          <w:szCs w:val="22"/>
        </w:rPr>
        <w:t xml:space="preserve"> for specific financing or operating expenses.</w:t>
      </w:r>
      <w:r w:rsidRPr="00C00429">
        <w:rPr>
          <w:sz w:val="22"/>
          <w:szCs w:val="22"/>
        </w:rPr>
        <w:t xml:space="preserve">  </w:t>
      </w:r>
      <w:r w:rsidR="007A09C3" w:rsidRPr="00C00429">
        <w:rPr>
          <w:sz w:val="22"/>
          <w:szCs w:val="22"/>
        </w:rPr>
        <w:t>If</w:t>
      </w:r>
      <w:r w:rsidR="007A09C3">
        <w:rPr>
          <w:sz w:val="22"/>
          <w:szCs w:val="22"/>
        </w:rPr>
        <w:t xml:space="preserve"> funding was used for financing, please describe in the comment section.</w:t>
      </w:r>
    </w:p>
    <w:p w14:paraId="64F128A3" w14:textId="77777777" w:rsidR="005A76AC" w:rsidRPr="005A76AC" w:rsidRDefault="005A76AC" w:rsidP="005A76AC">
      <w:pPr>
        <w:pStyle w:val="NormalSS"/>
        <w:rPr>
          <w:sz w:val="22"/>
          <w:szCs w:val="22"/>
        </w:rPr>
      </w:pPr>
    </w:p>
    <w:p w14:paraId="12B0D2BA" w14:textId="77777777" w:rsidR="005A76AC" w:rsidRPr="005A76AC" w:rsidRDefault="005A76AC" w:rsidP="008031A6">
      <w:pPr>
        <w:pStyle w:val="NormalSS"/>
        <w:numPr>
          <w:ilvl w:val="0"/>
          <w:numId w:val="1"/>
        </w:numPr>
        <w:rPr>
          <w:sz w:val="22"/>
          <w:szCs w:val="22"/>
        </w:rPr>
      </w:pPr>
      <w:r w:rsidRPr="005A76AC">
        <w:rPr>
          <w:sz w:val="22"/>
          <w:szCs w:val="22"/>
        </w:rPr>
        <w:t>CARES Act, Title IV, Emergency Relief and Tax Payer Protections</w:t>
      </w:r>
    </w:p>
    <w:p w14:paraId="2490F76C" w14:textId="77777777" w:rsidR="005A76AC" w:rsidRPr="005A76AC" w:rsidRDefault="005A76AC" w:rsidP="008031A6">
      <w:pPr>
        <w:pStyle w:val="NormalSS"/>
        <w:ind w:left="360" w:firstLine="0"/>
        <w:rPr>
          <w:sz w:val="22"/>
          <w:szCs w:val="22"/>
        </w:rPr>
      </w:pPr>
      <w:proofErr w:type="gramStart"/>
      <w:r w:rsidRPr="005A76AC">
        <w:rPr>
          <w:sz w:val="22"/>
          <w:szCs w:val="22"/>
        </w:rPr>
        <w:t xml:space="preserve">Treasury loans to large businesses and not-for-profits with 500+ employees, designed to assist </w:t>
      </w:r>
      <w:r w:rsidR="00791866">
        <w:rPr>
          <w:sz w:val="22"/>
          <w:szCs w:val="22"/>
        </w:rPr>
        <w:t>e</w:t>
      </w:r>
      <w:r w:rsidRPr="005A76AC">
        <w:rPr>
          <w:sz w:val="22"/>
          <w:szCs w:val="22"/>
        </w:rPr>
        <w:t>mployers in maintaining workforce levels.</w:t>
      </w:r>
      <w:proofErr w:type="gramEnd"/>
    </w:p>
    <w:p w14:paraId="6870B982" w14:textId="77777777" w:rsidR="005A76AC" w:rsidRPr="005A76AC" w:rsidRDefault="005A76AC" w:rsidP="005A76AC">
      <w:pPr>
        <w:pStyle w:val="NormalSS"/>
        <w:rPr>
          <w:sz w:val="22"/>
          <w:szCs w:val="22"/>
        </w:rPr>
      </w:pPr>
    </w:p>
    <w:p w14:paraId="478990CF" w14:textId="57067B66" w:rsidR="005A76AC" w:rsidRPr="005A76AC" w:rsidRDefault="005A76AC" w:rsidP="008031A6">
      <w:pPr>
        <w:pStyle w:val="NormalSS"/>
        <w:numPr>
          <w:ilvl w:val="0"/>
          <w:numId w:val="1"/>
        </w:numPr>
        <w:rPr>
          <w:sz w:val="22"/>
          <w:szCs w:val="22"/>
        </w:rPr>
      </w:pPr>
      <w:r w:rsidRPr="005A76AC">
        <w:rPr>
          <w:sz w:val="22"/>
          <w:szCs w:val="22"/>
        </w:rPr>
        <w:t>CARES</w:t>
      </w:r>
      <w:r w:rsidR="00BB52E5">
        <w:rPr>
          <w:sz w:val="22"/>
          <w:szCs w:val="22"/>
        </w:rPr>
        <w:t xml:space="preserve"> Act</w:t>
      </w:r>
      <w:r w:rsidRPr="005A76AC">
        <w:rPr>
          <w:sz w:val="22"/>
          <w:szCs w:val="22"/>
        </w:rPr>
        <w:t>, Section 3719, Medicare Advance Payments</w:t>
      </w:r>
    </w:p>
    <w:p w14:paraId="03853436" w14:textId="14189DEB" w:rsidR="005A76AC" w:rsidRPr="005A76AC" w:rsidRDefault="005A76AC" w:rsidP="008031A6">
      <w:pPr>
        <w:pStyle w:val="NormalSS"/>
        <w:ind w:left="360" w:firstLine="0"/>
        <w:rPr>
          <w:sz w:val="22"/>
          <w:szCs w:val="22"/>
        </w:rPr>
      </w:pPr>
      <w:r w:rsidRPr="005A76AC">
        <w:rPr>
          <w:sz w:val="22"/>
          <w:szCs w:val="22"/>
        </w:rPr>
        <w:t>Medicare will advance hospitals and health care providers up to 100% of prior period payments (</w:t>
      </w:r>
      <w:r w:rsidR="00E376CC" w:rsidRPr="005A76AC">
        <w:rPr>
          <w:sz w:val="22"/>
          <w:szCs w:val="22"/>
        </w:rPr>
        <w:t xml:space="preserve">acute </w:t>
      </w:r>
      <w:r w:rsidR="00E376CC">
        <w:rPr>
          <w:sz w:val="22"/>
          <w:szCs w:val="22"/>
        </w:rPr>
        <w:t>care</w:t>
      </w:r>
      <w:r w:rsidRPr="005A76AC">
        <w:rPr>
          <w:sz w:val="22"/>
          <w:szCs w:val="22"/>
        </w:rPr>
        <w:t xml:space="preserve"> hospitals) or 125% prior period payments (critical access hospitals) to ensure cash flow.  12 months for repayment</w:t>
      </w:r>
      <w:r w:rsidR="004276FD">
        <w:rPr>
          <w:sz w:val="22"/>
          <w:szCs w:val="22"/>
        </w:rPr>
        <w:t>.</w:t>
      </w:r>
    </w:p>
    <w:p w14:paraId="2830BB62" w14:textId="77777777" w:rsidR="005A76AC" w:rsidRPr="005A76AC" w:rsidRDefault="005A76AC" w:rsidP="005A76AC">
      <w:pPr>
        <w:pStyle w:val="NormalSS"/>
        <w:rPr>
          <w:sz w:val="22"/>
          <w:szCs w:val="22"/>
        </w:rPr>
      </w:pPr>
    </w:p>
    <w:p w14:paraId="7091682E" w14:textId="77777777" w:rsidR="005A76AC" w:rsidRPr="005A76AC" w:rsidRDefault="005A76AC" w:rsidP="008031A6">
      <w:pPr>
        <w:pStyle w:val="NormalSS"/>
        <w:numPr>
          <w:ilvl w:val="0"/>
          <w:numId w:val="1"/>
        </w:numPr>
        <w:rPr>
          <w:sz w:val="22"/>
          <w:szCs w:val="22"/>
        </w:rPr>
      </w:pPr>
      <w:r w:rsidRPr="005A76AC">
        <w:rPr>
          <w:sz w:val="22"/>
          <w:szCs w:val="22"/>
        </w:rPr>
        <w:lastRenderedPageBreak/>
        <w:t>CARES Act, Section 3709, Medicare Sequester Relief</w:t>
      </w:r>
    </w:p>
    <w:p w14:paraId="155694CA" w14:textId="77777777" w:rsidR="005A76AC" w:rsidRPr="005A76AC" w:rsidRDefault="005A76AC" w:rsidP="008031A6">
      <w:pPr>
        <w:pStyle w:val="NormalSS"/>
        <w:ind w:left="360" w:firstLine="0"/>
        <w:rPr>
          <w:sz w:val="22"/>
          <w:szCs w:val="22"/>
        </w:rPr>
      </w:pPr>
      <w:r w:rsidRPr="005A76AC">
        <w:rPr>
          <w:sz w:val="22"/>
          <w:szCs w:val="22"/>
        </w:rPr>
        <w:t xml:space="preserve">Provides prompt economic assistance to health care providers by temporarily lifting the Medicare sequester, which reduces payments by 2%. Temporary rollback, effective May 1 through Dec. 31, 2020, boosts Medicare payments for hospitals, physicians, and other care providers. </w:t>
      </w:r>
    </w:p>
    <w:p w14:paraId="3596C866" w14:textId="77777777" w:rsidR="005A76AC" w:rsidRPr="005A76AC" w:rsidRDefault="005A76AC" w:rsidP="005A76AC">
      <w:pPr>
        <w:pStyle w:val="NormalSS"/>
        <w:rPr>
          <w:sz w:val="22"/>
          <w:szCs w:val="22"/>
        </w:rPr>
      </w:pPr>
    </w:p>
    <w:p w14:paraId="7492C1AD" w14:textId="5DCE8663" w:rsidR="005A76AC" w:rsidRPr="005A76AC" w:rsidRDefault="005A76AC" w:rsidP="008031A6">
      <w:pPr>
        <w:pStyle w:val="NormalSS"/>
        <w:numPr>
          <w:ilvl w:val="0"/>
          <w:numId w:val="1"/>
        </w:numPr>
        <w:rPr>
          <w:sz w:val="22"/>
          <w:szCs w:val="22"/>
        </w:rPr>
      </w:pPr>
      <w:r w:rsidRPr="005A76AC">
        <w:rPr>
          <w:sz w:val="22"/>
          <w:szCs w:val="22"/>
        </w:rPr>
        <w:t>CARES</w:t>
      </w:r>
      <w:r w:rsidR="00BB52E5">
        <w:rPr>
          <w:sz w:val="22"/>
          <w:szCs w:val="22"/>
        </w:rPr>
        <w:t xml:space="preserve"> Act</w:t>
      </w:r>
      <w:r w:rsidRPr="005A76AC">
        <w:rPr>
          <w:sz w:val="22"/>
          <w:szCs w:val="22"/>
        </w:rPr>
        <w:t>, Section 3813, Disproportionate Share Hospital Reductions</w:t>
      </w:r>
    </w:p>
    <w:p w14:paraId="3D1CF4C5" w14:textId="77777777" w:rsidR="005A76AC" w:rsidRPr="005A76AC" w:rsidRDefault="005A76AC" w:rsidP="008031A6">
      <w:pPr>
        <w:pStyle w:val="NormalSS"/>
        <w:ind w:left="432" w:firstLine="0"/>
        <w:rPr>
          <w:sz w:val="22"/>
          <w:szCs w:val="22"/>
        </w:rPr>
      </w:pPr>
      <w:r w:rsidRPr="005A76AC">
        <w:rPr>
          <w:sz w:val="22"/>
          <w:szCs w:val="22"/>
        </w:rPr>
        <w:t>Delayed $4 billion reduction to hospitals' Disproportionate Share Hospital (DSH) payments. Hospitals will retain prior period DSH method calculation, increasing current year DSH payments.</w:t>
      </w:r>
    </w:p>
    <w:p w14:paraId="1AE70B33" w14:textId="77777777" w:rsidR="005A76AC" w:rsidRPr="005A76AC" w:rsidRDefault="005A76AC" w:rsidP="005A76AC">
      <w:pPr>
        <w:pStyle w:val="NormalSS"/>
        <w:rPr>
          <w:sz w:val="22"/>
          <w:szCs w:val="22"/>
        </w:rPr>
      </w:pPr>
    </w:p>
    <w:p w14:paraId="2CA57101" w14:textId="5AED5479" w:rsidR="005A76AC" w:rsidRPr="005A76AC" w:rsidRDefault="005A76AC" w:rsidP="008031A6">
      <w:pPr>
        <w:pStyle w:val="NormalSS"/>
        <w:numPr>
          <w:ilvl w:val="0"/>
          <w:numId w:val="1"/>
        </w:numPr>
        <w:rPr>
          <w:sz w:val="22"/>
          <w:szCs w:val="22"/>
        </w:rPr>
      </w:pPr>
      <w:r w:rsidRPr="005A76AC">
        <w:rPr>
          <w:sz w:val="22"/>
          <w:szCs w:val="22"/>
        </w:rPr>
        <w:t>CARES</w:t>
      </w:r>
      <w:r w:rsidR="00BB52E5">
        <w:rPr>
          <w:sz w:val="22"/>
          <w:szCs w:val="22"/>
        </w:rPr>
        <w:t xml:space="preserve"> Act</w:t>
      </w:r>
      <w:r w:rsidRPr="005A76AC">
        <w:rPr>
          <w:sz w:val="22"/>
          <w:szCs w:val="22"/>
        </w:rPr>
        <w:t>, Section 3831, Graduate Medical Education (GME) Payments</w:t>
      </w:r>
    </w:p>
    <w:p w14:paraId="61ED0628" w14:textId="77777777" w:rsidR="005A76AC" w:rsidRPr="005A76AC" w:rsidRDefault="005A76AC" w:rsidP="005A76AC">
      <w:pPr>
        <w:pStyle w:val="NormalSS"/>
        <w:rPr>
          <w:sz w:val="22"/>
          <w:szCs w:val="22"/>
        </w:rPr>
      </w:pPr>
      <w:r w:rsidRPr="005A76AC">
        <w:rPr>
          <w:sz w:val="22"/>
          <w:szCs w:val="22"/>
        </w:rPr>
        <w:t>Extends Medicare payment for GME payments. Hospitals will retain prior period GME rates.</w:t>
      </w:r>
    </w:p>
    <w:p w14:paraId="5D1221B8" w14:textId="77777777" w:rsidR="005A76AC" w:rsidRPr="005A76AC" w:rsidRDefault="005A76AC" w:rsidP="005A76AC">
      <w:pPr>
        <w:pStyle w:val="NormalSS"/>
        <w:rPr>
          <w:sz w:val="22"/>
          <w:szCs w:val="22"/>
        </w:rPr>
      </w:pPr>
    </w:p>
    <w:p w14:paraId="1BA46CFB" w14:textId="29AE5077" w:rsidR="005A76AC" w:rsidRPr="005A76AC" w:rsidRDefault="00C00429" w:rsidP="008031A6">
      <w:pPr>
        <w:pStyle w:val="NormalSS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CARES Act, </w:t>
      </w:r>
      <w:r w:rsidR="005A76AC" w:rsidRPr="005A76AC">
        <w:rPr>
          <w:sz w:val="22"/>
          <w:szCs w:val="22"/>
        </w:rPr>
        <w:t>HHS Public Health and Social Services Emergency Funds</w:t>
      </w:r>
    </w:p>
    <w:p w14:paraId="0DF5AA8F" w14:textId="0F6EFABE" w:rsidR="005A76AC" w:rsidRPr="005A76AC" w:rsidRDefault="005A76AC" w:rsidP="007A09C3">
      <w:pPr>
        <w:pStyle w:val="NormalSS"/>
        <w:ind w:left="432" w:firstLine="0"/>
        <w:rPr>
          <w:sz w:val="22"/>
          <w:szCs w:val="22"/>
        </w:rPr>
      </w:pPr>
      <w:r w:rsidRPr="005A76AC">
        <w:rPr>
          <w:sz w:val="22"/>
          <w:szCs w:val="22"/>
        </w:rPr>
        <w:t>$90 million for HIV/AIDS program</w:t>
      </w:r>
      <w:r w:rsidR="00D339A0">
        <w:rPr>
          <w:sz w:val="22"/>
          <w:szCs w:val="22"/>
        </w:rPr>
        <w:t xml:space="preserve">, </w:t>
      </w:r>
      <w:r w:rsidRPr="005A76AC">
        <w:rPr>
          <w:sz w:val="22"/>
          <w:szCs w:val="22"/>
        </w:rPr>
        <w:t xml:space="preserve">$180 million for critical access hospitals, rural tribal health and </w:t>
      </w:r>
      <w:proofErr w:type="spellStart"/>
      <w:r w:rsidRPr="005A76AC">
        <w:rPr>
          <w:sz w:val="22"/>
          <w:szCs w:val="22"/>
        </w:rPr>
        <w:t>telehealth</w:t>
      </w:r>
      <w:proofErr w:type="spellEnd"/>
      <w:r w:rsidRPr="005A76AC">
        <w:rPr>
          <w:sz w:val="22"/>
          <w:szCs w:val="22"/>
        </w:rPr>
        <w:t xml:space="preserve"> programs</w:t>
      </w:r>
      <w:r w:rsidR="00D339A0">
        <w:rPr>
          <w:sz w:val="22"/>
          <w:szCs w:val="22"/>
        </w:rPr>
        <w:t xml:space="preserve">, </w:t>
      </w:r>
      <w:r w:rsidRPr="005A76AC">
        <w:rPr>
          <w:sz w:val="22"/>
          <w:szCs w:val="22"/>
        </w:rPr>
        <w:t>$5 million for poison control centers</w:t>
      </w:r>
      <w:r w:rsidR="004276FD">
        <w:rPr>
          <w:sz w:val="22"/>
          <w:szCs w:val="22"/>
        </w:rPr>
        <w:t>.</w:t>
      </w:r>
    </w:p>
    <w:p w14:paraId="249CED78" w14:textId="77777777" w:rsidR="005A76AC" w:rsidRPr="005A76AC" w:rsidRDefault="005A76AC" w:rsidP="005A76AC">
      <w:pPr>
        <w:pStyle w:val="NormalSS"/>
        <w:rPr>
          <w:sz w:val="22"/>
          <w:szCs w:val="22"/>
        </w:rPr>
      </w:pPr>
    </w:p>
    <w:p w14:paraId="334ECCF1" w14:textId="77777777" w:rsidR="005A76AC" w:rsidRPr="005A76AC" w:rsidRDefault="005A76AC" w:rsidP="008031A6">
      <w:pPr>
        <w:pStyle w:val="NormalSS"/>
        <w:numPr>
          <w:ilvl w:val="0"/>
          <w:numId w:val="1"/>
        </w:numPr>
        <w:rPr>
          <w:sz w:val="22"/>
          <w:szCs w:val="22"/>
        </w:rPr>
      </w:pPr>
      <w:r w:rsidRPr="005A76AC">
        <w:rPr>
          <w:sz w:val="22"/>
          <w:szCs w:val="22"/>
        </w:rPr>
        <w:t>Private Foundation Grants or Contributions</w:t>
      </w:r>
    </w:p>
    <w:p w14:paraId="711903CD" w14:textId="7300AB5A" w:rsidR="005A76AC" w:rsidRPr="005A76AC" w:rsidRDefault="00D339A0" w:rsidP="008031A6">
      <w:pPr>
        <w:pStyle w:val="NormalSS"/>
        <w:ind w:left="360" w:firstLine="72"/>
        <w:rPr>
          <w:sz w:val="22"/>
          <w:szCs w:val="22"/>
        </w:rPr>
      </w:pPr>
      <w:r>
        <w:rPr>
          <w:sz w:val="22"/>
          <w:szCs w:val="22"/>
        </w:rPr>
        <w:t>A</w:t>
      </w:r>
      <w:r w:rsidRPr="005A76AC">
        <w:rPr>
          <w:sz w:val="22"/>
          <w:szCs w:val="22"/>
        </w:rPr>
        <w:t xml:space="preserve"> </w:t>
      </w:r>
      <w:r w:rsidR="005A76AC" w:rsidRPr="005A76AC">
        <w:rPr>
          <w:sz w:val="22"/>
          <w:szCs w:val="22"/>
        </w:rPr>
        <w:t>list of all funds received from o</w:t>
      </w:r>
      <w:r w:rsidR="00585E99">
        <w:rPr>
          <w:sz w:val="22"/>
          <w:szCs w:val="22"/>
        </w:rPr>
        <w:t xml:space="preserve">ther sources (privately-funded, </w:t>
      </w:r>
      <w:r w:rsidR="005A76AC" w:rsidRPr="005A76AC">
        <w:rPr>
          <w:sz w:val="22"/>
          <w:szCs w:val="22"/>
        </w:rPr>
        <w:t>gifts, grants, loans)</w:t>
      </w:r>
      <w:r>
        <w:rPr>
          <w:sz w:val="22"/>
          <w:szCs w:val="22"/>
        </w:rPr>
        <w:t xml:space="preserve"> related to COVID-19</w:t>
      </w:r>
      <w:r w:rsidR="005A76AC" w:rsidRPr="005A76AC">
        <w:rPr>
          <w:sz w:val="22"/>
          <w:szCs w:val="22"/>
        </w:rPr>
        <w:t>. Identify funding source, amount of funding, date of receipt, and purpose for which funds are to be used.</w:t>
      </w:r>
    </w:p>
    <w:p w14:paraId="67B3CFE6" w14:textId="77777777" w:rsidR="005A76AC" w:rsidRPr="005A76AC" w:rsidRDefault="005A76AC" w:rsidP="005A76AC">
      <w:pPr>
        <w:pStyle w:val="NormalSS"/>
        <w:rPr>
          <w:sz w:val="22"/>
          <w:szCs w:val="22"/>
        </w:rPr>
      </w:pPr>
    </w:p>
    <w:p w14:paraId="783B9147" w14:textId="77777777" w:rsidR="00F46FF6" w:rsidRPr="00D339A0" w:rsidRDefault="00F46FF6" w:rsidP="007A09C3">
      <w:pPr>
        <w:pStyle w:val="NormalSS"/>
        <w:numPr>
          <w:ilvl w:val="0"/>
          <w:numId w:val="1"/>
        </w:numPr>
        <w:rPr>
          <w:sz w:val="22"/>
          <w:szCs w:val="22"/>
        </w:rPr>
      </w:pPr>
      <w:r w:rsidRPr="00D339A0">
        <w:rPr>
          <w:sz w:val="22"/>
          <w:szCs w:val="22"/>
        </w:rPr>
        <w:t>State Supplemental Funds</w:t>
      </w:r>
    </w:p>
    <w:p w14:paraId="2041521F" w14:textId="77777777" w:rsidR="00F46FF6" w:rsidRPr="00F46FF6" w:rsidRDefault="00E376CC" w:rsidP="008031A6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="00F46FF6" w:rsidRPr="00F46FF6">
        <w:rPr>
          <w:sz w:val="22"/>
          <w:szCs w:val="22"/>
        </w:rPr>
        <w:t xml:space="preserve">Funding provided from </w:t>
      </w:r>
      <w:proofErr w:type="spellStart"/>
      <w:r w:rsidR="00F46FF6" w:rsidRPr="00F46FF6">
        <w:rPr>
          <w:sz w:val="22"/>
          <w:szCs w:val="22"/>
        </w:rPr>
        <w:t>MassHealth</w:t>
      </w:r>
      <w:proofErr w:type="spellEnd"/>
      <w:r w:rsidR="00F46FF6" w:rsidRPr="00F46FF6">
        <w:rPr>
          <w:sz w:val="22"/>
          <w:szCs w:val="22"/>
        </w:rPr>
        <w:t xml:space="preserve"> related to COVID-19 relief</w:t>
      </w:r>
    </w:p>
    <w:p w14:paraId="04F83686" w14:textId="77777777" w:rsidR="00F46FF6" w:rsidRDefault="00F46FF6" w:rsidP="008031A6">
      <w:pPr>
        <w:pStyle w:val="NormalSS"/>
        <w:ind w:left="720" w:firstLine="0"/>
        <w:rPr>
          <w:sz w:val="22"/>
          <w:szCs w:val="22"/>
        </w:rPr>
      </w:pPr>
    </w:p>
    <w:p w14:paraId="41505C31" w14:textId="77777777" w:rsidR="00F46FF6" w:rsidRDefault="00F46FF6" w:rsidP="008031A6">
      <w:pPr>
        <w:pStyle w:val="NormalSS"/>
        <w:ind w:left="720" w:firstLine="0"/>
        <w:rPr>
          <w:sz w:val="22"/>
          <w:szCs w:val="22"/>
        </w:rPr>
      </w:pPr>
    </w:p>
    <w:p w14:paraId="42ED8F67" w14:textId="77777777" w:rsidR="00F46FF6" w:rsidRPr="00F46FF6" w:rsidRDefault="00F46FF6" w:rsidP="00F46FF6">
      <w:pPr>
        <w:pStyle w:val="NormalSS"/>
        <w:numPr>
          <w:ilvl w:val="0"/>
          <w:numId w:val="1"/>
        </w:numPr>
        <w:rPr>
          <w:sz w:val="22"/>
          <w:szCs w:val="22"/>
        </w:rPr>
      </w:pPr>
      <w:proofErr w:type="spellStart"/>
      <w:r w:rsidRPr="00F46FF6">
        <w:rPr>
          <w:sz w:val="22"/>
          <w:szCs w:val="22"/>
        </w:rPr>
        <w:t>MassHealth</w:t>
      </w:r>
      <w:proofErr w:type="spellEnd"/>
      <w:r w:rsidRPr="00F46FF6">
        <w:rPr>
          <w:sz w:val="22"/>
          <w:szCs w:val="22"/>
        </w:rPr>
        <w:t xml:space="preserve"> Advance Payments</w:t>
      </w:r>
    </w:p>
    <w:p w14:paraId="2EA346D3" w14:textId="77777777" w:rsidR="00F46FF6" w:rsidRPr="00F46FF6" w:rsidRDefault="00F46FF6" w:rsidP="008031A6">
      <w:pPr>
        <w:pStyle w:val="NormalSS"/>
        <w:ind w:left="360" w:firstLine="0"/>
        <w:rPr>
          <w:sz w:val="22"/>
          <w:szCs w:val="22"/>
        </w:rPr>
      </w:pPr>
      <w:r w:rsidRPr="00F46FF6">
        <w:rPr>
          <w:sz w:val="22"/>
          <w:szCs w:val="22"/>
        </w:rPr>
        <w:t xml:space="preserve">Advance payments from </w:t>
      </w:r>
      <w:proofErr w:type="spellStart"/>
      <w:r w:rsidRPr="00F46FF6">
        <w:rPr>
          <w:sz w:val="22"/>
          <w:szCs w:val="22"/>
        </w:rPr>
        <w:t>MassHealth</w:t>
      </w:r>
      <w:proofErr w:type="spellEnd"/>
      <w:r w:rsidRPr="00F46FF6">
        <w:rPr>
          <w:sz w:val="22"/>
          <w:szCs w:val="22"/>
        </w:rPr>
        <w:t xml:space="preserve"> related to COVID-19 relief</w:t>
      </w:r>
    </w:p>
    <w:p w14:paraId="48E0CF6A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7381E946" w14:textId="77777777" w:rsidR="00F46FF6" w:rsidRDefault="00F46FF6" w:rsidP="001F144F">
      <w:pPr>
        <w:pStyle w:val="NormalSS"/>
        <w:ind w:firstLine="0"/>
        <w:jc w:val="left"/>
        <w:rPr>
          <w:sz w:val="22"/>
          <w:szCs w:val="22"/>
        </w:rPr>
      </w:pPr>
    </w:p>
    <w:p w14:paraId="59DF257A" w14:textId="77777777" w:rsidR="005A76AC" w:rsidRDefault="00F46FF6" w:rsidP="005A76AC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For each item, </w:t>
      </w:r>
      <w:r w:rsidR="00D339A0" w:rsidRPr="008031A6">
        <w:rPr>
          <w:sz w:val="22"/>
          <w:szCs w:val="22"/>
        </w:rPr>
        <w:t>Acute Hospitals, Physician Organizations, and their Parent Organization</w:t>
      </w:r>
      <w:r w:rsidR="00D339A0" w:rsidDel="00D339A0">
        <w:rPr>
          <w:sz w:val="22"/>
          <w:szCs w:val="22"/>
        </w:rPr>
        <w:t xml:space="preserve"> </w:t>
      </w:r>
      <w:r>
        <w:rPr>
          <w:sz w:val="22"/>
          <w:szCs w:val="22"/>
        </w:rPr>
        <w:t>must report the a</w:t>
      </w:r>
      <w:r w:rsidR="005A76AC" w:rsidRPr="005A76AC">
        <w:rPr>
          <w:sz w:val="22"/>
          <w:szCs w:val="22"/>
        </w:rPr>
        <w:t xml:space="preserve">mount </w:t>
      </w:r>
      <w:r>
        <w:rPr>
          <w:sz w:val="22"/>
          <w:szCs w:val="22"/>
        </w:rPr>
        <w:t>r</w:t>
      </w:r>
      <w:r w:rsidR="005A76AC" w:rsidRPr="005A76AC">
        <w:rPr>
          <w:sz w:val="22"/>
          <w:szCs w:val="22"/>
        </w:rPr>
        <w:t>eceived</w:t>
      </w:r>
      <w:r>
        <w:rPr>
          <w:sz w:val="22"/>
          <w:szCs w:val="22"/>
        </w:rPr>
        <w:t xml:space="preserve">, where amount is reported in </w:t>
      </w:r>
      <w:r w:rsidR="00D339A0">
        <w:rPr>
          <w:sz w:val="22"/>
          <w:szCs w:val="22"/>
        </w:rPr>
        <w:t>the Standardized Financial Filing</w:t>
      </w:r>
      <w:r>
        <w:rPr>
          <w:sz w:val="22"/>
          <w:szCs w:val="22"/>
        </w:rPr>
        <w:t xml:space="preserve"> (list of options is below) and the </w:t>
      </w:r>
      <w:r w:rsidR="005A76AC" w:rsidRPr="005A76AC">
        <w:rPr>
          <w:sz w:val="22"/>
          <w:szCs w:val="22"/>
        </w:rPr>
        <w:t>amount expected to be repaid</w:t>
      </w:r>
      <w:r>
        <w:rPr>
          <w:sz w:val="22"/>
          <w:szCs w:val="22"/>
        </w:rPr>
        <w:t>.</w:t>
      </w:r>
    </w:p>
    <w:p w14:paraId="60ADADAF" w14:textId="77777777" w:rsidR="00F46FF6" w:rsidRDefault="00F46FF6" w:rsidP="005A76AC">
      <w:pPr>
        <w:pStyle w:val="NormalSS"/>
        <w:ind w:firstLine="0"/>
        <w:jc w:val="left"/>
        <w:rPr>
          <w:sz w:val="22"/>
          <w:szCs w:val="22"/>
        </w:rPr>
      </w:pPr>
    </w:p>
    <w:p w14:paraId="01ECEFCA" w14:textId="77777777" w:rsidR="00F46FF6" w:rsidRDefault="00F46FF6" w:rsidP="008031A6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The list of options will include: </w:t>
      </w:r>
    </w:p>
    <w:p w14:paraId="79B7CA5B" w14:textId="77777777" w:rsidR="00F46FF6" w:rsidRPr="00F46FF6" w:rsidRDefault="00F46FF6" w:rsidP="008031A6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ab/>
        <w:t>Net Patients Service Revenue (N</w:t>
      </w:r>
      <w:r w:rsidRPr="00F46FF6">
        <w:rPr>
          <w:sz w:val="22"/>
          <w:szCs w:val="22"/>
        </w:rPr>
        <w:t>PSR</w:t>
      </w:r>
      <w:r>
        <w:rPr>
          <w:sz w:val="22"/>
          <w:szCs w:val="22"/>
        </w:rPr>
        <w:t>)</w:t>
      </w:r>
    </w:p>
    <w:p w14:paraId="1ADB0B2F" w14:textId="77777777" w:rsidR="00F46FF6" w:rsidRPr="00F46FF6" w:rsidRDefault="00F46FF6" w:rsidP="00F46FF6">
      <w:pPr>
        <w:pStyle w:val="NormalSS"/>
        <w:rPr>
          <w:sz w:val="22"/>
          <w:szCs w:val="22"/>
        </w:rPr>
      </w:pPr>
      <w:r w:rsidRPr="00F46FF6">
        <w:rPr>
          <w:sz w:val="22"/>
          <w:szCs w:val="22"/>
        </w:rPr>
        <w:t>Other Operating Revenue</w:t>
      </w:r>
    </w:p>
    <w:p w14:paraId="6048D9DF" w14:textId="77777777" w:rsidR="00F46FF6" w:rsidRPr="00F46FF6" w:rsidRDefault="00F46FF6" w:rsidP="00F46FF6">
      <w:pPr>
        <w:pStyle w:val="NormalSS"/>
        <w:rPr>
          <w:sz w:val="22"/>
          <w:szCs w:val="22"/>
        </w:rPr>
      </w:pPr>
      <w:r w:rsidRPr="00F46FF6">
        <w:rPr>
          <w:sz w:val="22"/>
          <w:szCs w:val="22"/>
        </w:rPr>
        <w:t>Current Assets</w:t>
      </w:r>
    </w:p>
    <w:p w14:paraId="65DB2B02" w14:textId="77777777" w:rsidR="00F46FF6" w:rsidRPr="00F46FF6" w:rsidRDefault="00F46FF6" w:rsidP="00F46FF6">
      <w:pPr>
        <w:pStyle w:val="NormalSS"/>
        <w:rPr>
          <w:sz w:val="22"/>
          <w:szCs w:val="22"/>
        </w:rPr>
      </w:pPr>
      <w:r w:rsidRPr="00F46FF6">
        <w:rPr>
          <w:sz w:val="22"/>
          <w:szCs w:val="22"/>
        </w:rPr>
        <w:t>Long Term Assets</w:t>
      </w:r>
    </w:p>
    <w:p w14:paraId="240DD441" w14:textId="77777777" w:rsidR="00F46FF6" w:rsidRPr="00F46FF6" w:rsidRDefault="00F46FF6" w:rsidP="00F46FF6">
      <w:pPr>
        <w:pStyle w:val="NormalSS"/>
        <w:rPr>
          <w:sz w:val="22"/>
          <w:szCs w:val="22"/>
        </w:rPr>
      </w:pPr>
      <w:r w:rsidRPr="00F46FF6">
        <w:rPr>
          <w:sz w:val="22"/>
          <w:szCs w:val="22"/>
        </w:rPr>
        <w:t>Current Liabilities</w:t>
      </w:r>
    </w:p>
    <w:p w14:paraId="41948400" w14:textId="77777777" w:rsidR="00F46FF6" w:rsidRPr="00F46FF6" w:rsidRDefault="00F46FF6" w:rsidP="00F46FF6">
      <w:pPr>
        <w:pStyle w:val="NormalSS"/>
        <w:rPr>
          <w:sz w:val="22"/>
          <w:szCs w:val="22"/>
        </w:rPr>
      </w:pPr>
      <w:r w:rsidRPr="00F46FF6">
        <w:rPr>
          <w:sz w:val="22"/>
          <w:szCs w:val="22"/>
        </w:rPr>
        <w:t>Long Term Liabilities</w:t>
      </w:r>
    </w:p>
    <w:p w14:paraId="7998CB4A" w14:textId="77777777" w:rsidR="00F46FF6" w:rsidRDefault="00F46FF6" w:rsidP="008031A6">
      <w:pPr>
        <w:pStyle w:val="NormalSS"/>
        <w:rPr>
          <w:sz w:val="22"/>
          <w:szCs w:val="22"/>
        </w:rPr>
      </w:pPr>
      <w:r w:rsidRPr="00F46FF6">
        <w:rPr>
          <w:sz w:val="22"/>
          <w:szCs w:val="22"/>
        </w:rPr>
        <w:t>Other (</w:t>
      </w:r>
      <w:r>
        <w:rPr>
          <w:sz w:val="22"/>
          <w:szCs w:val="22"/>
        </w:rPr>
        <w:t>Describe in th</w:t>
      </w:r>
      <w:r w:rsidRPr="00F46FF6">
        <w:rPr>
          <w:sz w:val="22"/>
          <w:szCs w:val="22"/>
        </w:rPr>
        <w:t>e Comment</w:t>
      </w:r>
      <w:r>
        <w:rPr>
          <w:sz w:val="22"/>
          <w:szCs w:val="22"/>
        </w:rPr>
        <w:t xml:space="preserve"> Section)</w:t>
      </w:r>
    </w:p>
    <w:p w14:paraId="75BBC72C" w14:textId="77777777" w:rsidR="00F46FF6" w:rsidRPr="005A76AC" w:rsidRDefault="00F46FF6" w:rsidP="008031A6">
      <w:pPr>
        <w:pStyle w:val="NormalSS"/>
        <w:ind w:left="432" w:firstLine="0"/>
        <w:rPr>
          <w:sz w:val="22"/>
          <w:szCs w:val="22"/>
        </w:rPr>
      </w:pPr>
      <w:r>
        <w:rPr>
          <w:sz w:val="22"/>
          <w:szCs w:val="22"/>
        </w:rPr>
        <w:t>U</w:t>
      </w:r>
      <w:r w:rsidRPr="00F46FF6">
        <w:rPr>
          <w:sz w:val="22"/>
          <w:szCs w:val="22"/>
        </w:rPr>
        <w:t>nable to Estimate</w:t>
      </w:r>
      <w:r w:rsidR="00F85B2A">
        <w:rPr>
          <w:sz w:val="22"/>
          <w:szCs w:val="22"/>
        </w:rPr>
        <w:t xml:space="preserve"> (This option</w:t>
      </w:r>
      <w:r>
        <w:rPr>
          <w:sz w:val="22"/>
          <w:szCs w:val="22"/>
        </w:rPr>
        <w:t xml:space="preserve"> should only be used when the actual amount received cannot be determined.)</w:t>
      </w:r>
    </w:p>
    <w:p w14:paraId="3FD4D566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630B91FA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4DEC218D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76CFF01E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223B9D32" w14:textId="77777777" w:rsidR="005A76AC" w:rsidRDefault="007534C8" w:rsidP="001F144F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Time Frames</w:t>
      </w:r>
      <w:r w:rsidR="00FC4CF9">
        <w:rPr>
          <w:sz w:val="22"/>
          <w:szCs w:val="22"/>
        </w:rPr>
        <w:t xml:space="preserve"> for Initial Filings</w:t>
      </w:r>
      <w:r>
        <w:rPr>
          <w:sz w:val="22"/>
          <w:szCs w:val="22"/>
        </w:rPr>
        <w:t xml:space="preserve">: </w:t>
      </w:r>
    </w:p>
    <w:p w14:paraId="79A05E6B" w14:textId="77777777" w:rsidR="00FC4CF9" w:rsidRDefault="00FC4CF9" w:rsidP="001F144F">
      <w:pPr>
        <w:pStyle w:val="NormalSS"/>
        <w:ind w:firstLine="0"/>
        <w:jc w:val="left"/>
        <w:rPr>
          <w:sz w:val="22"/>
          <w:szCs w:val="22"/>
        </w:rPr>
      </w:pPr>
    </w:p>
    <w:p w14:paraId="185316A6" w14:textId="77777777" w:rsidR="007534C8" w:rsidRPr="00585E99" w:rsidRDefault="00FC4CF9" w:rsidP="001F144F">
      <w:pPr>
        <w:pStyle w:val="NormalSS"/>
        <w:ind w:firstLine="0"/>
        <w:jc w:val="left"/>
        <w:rPr>
          <w:sz w:val="22"/>
          <w:szCs w:val="22"/>
        </w:rPr>
      </w:pPr>
      <w:r w:rsidRPr="00585E99">
        <w:rPr>
          <w:sz w:val="22"/>
          <w:szCs w:val="22"/>
        </w:rPr>
        <w:t xml:space="preserve">For </w:t>
      </w:r>
      <w:r w:rsidR="007534C8" w:rsidRPr="00585E99">
        <w:rPr>
          <w:sz w:val="22"/>
          <w:szCs w:val="22"/>
        </w:rPr>
        <w:t xml:space="preserve">entities with a </w:t>
      </w:r>
      <w:r w:rsidRPr="00585E99">
        <w:rPr>
          <w:sz w:val="22"/>
          <w:szCs w:val="22"/>
        </w:rPr>
        <w:t>September 30</w:t>
      </w:r>
      <w:r w:rsidRPr="00585E99">
        <w:rPr>
          <w:sz w:val="22"/>
          <w:szCs w:val="22"/>
          <w:vertAlign w:val="superscript"/>
        </w:rPr>
        <w:t>th</w:t>
      </w:r>
      <w:r w:rsidRPr="00585E99">
        <w:rPr>
          <w:sz w:val="22"/>
          <w:szCs w:val="22"/>
        </w:rPr>
        <w:t xml:space="preserve"> </w:t>
      </w:r>
      <w:proofErr w:type="gramStart"/>
      <w:r w:rsidRPr="00585E99">
        <w:rPr>
          <w:sz w:val="22"/>
          <w:szCs w:val="22"/>
        </w:rPr>
        <w:t>year end</w:t>
      </w:r>
      <w:proofErr w:type="gramEnd"/>
      <w:r w:rsidRPr="00585E99">
        <w:rPr>
          <w:sz w:val="22"/>
          <w:szCs w:val="22"/>
        </w:rPr>
        <w:t xml:space="preserve">, </w:t>
      </w:r>
      <w:r w:rsidR="00E376CC" w:rsidRPr="00585E99">
        <w:rPr>
          <w:sz w:val="22"/>
          <w:szCs w:val="22"/>
        </w:rPr>
        <w:t>the FY</w:t>
      </w:r>
      <w:r w:rsidR="00F85B2A" w:rsidRPr="00585E99">
        <w:rPr>
          <w:sz w:val="22"/>
          <w:szCs w:val="22"/>
        </w:rPr>
        <w:t xml:space="preserve"> 2020, Quarter 3 filing </w:t>
      </w:r>
      <w:r w:rsidRPr="00585E99">
        <w:rPr>
          <w:sz w:val="22"/>
          <w:szCs w:val="22"/>
        </w:rPr>
        <w:t xml:space="preserve">shall be filed </w:t>
      </w:r>
      <w:r w:rsidR="00E376CC" w:rsidRPr="00585E99">
        <w:rPr>
          <w:sz w:val="22"/>
          <w:szCs w:val="22"/>
        </w:rPr>
        <w:t>electronically</w:t>
      </w:r>
      <w:r w:rsidRPr="00585E99">
        <w:rPr>
          <w:sz w:val="22"/>
          <w:szCs w:val="22"/>
        </w:rPr>
        <w:t xml:space="preserve"> by September 30, 2020. </w:t>
      </w:r>
    </w:p>
    <w:p w14:paraId="4698A7CF" w14:textId="77777777" w:rsidR="007534C8" w:rsidRPr="00585E99" w:rsidRDefault="007534C8" w:rsidP="001F144F">
      <w:pPr>
        <w:pStyle w:val="NormalSS"/>
        <w:ind w:firstLine="0"/>
        <w:jc w:val="left"/>
        <w:rPr>
          <w:sz w:val="22"/>
          <w:szCs w:val="22"/>
        </w:rPr>
      </w:pPr>
    </w:p>
    <w:p w14:paraId="696A914E" w14:textId="77777777" w:rsidR="00FC4CF9" w:rsidRPr="00585E99" w:rsidRDefault="00FC4CF9" w:rsidP="008031A6">
      <w:pPr>
        <w:pStyle w:val="NormalSS"/>
        <w:ind w:firstLine="0"/>
        <w:rPr>
          <w:sz w:val="22"/>
          <w:szCs w:val="22"/>
        </w:rPr>
      </w:pPr>
      <w:r w:rsidRPr="00585E99">
        <w:rPr>
          <w:sz w:val="22"/>
          <w:szCs w:val="22"/>
        </w:rPr>
        <w:t>For entities with a December 31</w:t>
      </w:r>
      <w:r w:rsidRPr="00585E99">
        <w:rPr>
          <w:sz w:val="22"/>
          <w:szCs w:val="22"/>
          <w:vertAlign w:val="superscript"/>
        </w:rPr>
        <w:t>st</w:t>
      </w:r>
      <w:r w:rsidRPr="00585E99">
        <w:rPr>
          <w:sz w:val="22"/>
          <w:szCs w:val="22"/>
        </w:rPr>
        <w:t xml:space="preserve"> </w:t>
      </w:r>
      <w:proofErr w:type="gramStart"/>
      <w:r w:rsidRPr="00585E99">
        <w:rPr>
          <w:sz w:val="22"/>
          <w:szCs w:val="22"/>
        </w:rPr>
        <w:t>year end</w:t>
      </w:r>
      <w:proofErr w:type="gramEnd"/>
      <w:r w:rsidRPr="00585E99">
        <w:rPr>
          <w:sz w:val="22"/>
          <w:szCs w:val="22"/>
        </w:rPr>
        <w:t xml:space="preserve">, </w:t>
      </w:r>
      <w:r w:rsidR="00E376CC" w:rsidRPr="00585E99">
        <w:rPr>
          <w:sz w:val="22"/>
          <w:szCs w:val="22"/>
        </w:rPr>
        <w:t>the FY</w:t>
      </w:r>
      <w:r w:rsidRPr="00585E99">
        <w:rPr>
          <w:sz w:val="22"/>
          <w:szCs w:val="22"/>
        </w:rPr>
        <w:t xml:space="preserve"> 2020, Quarter 2 filing shall be filed </w:t>
      </w:r>
      <w:r w:rsidR="00E376CC" w:rsidRPr="00585E99">
        <w:rPr>
          <w:sz w:val="22"/>
          <w:szCs w:val="22"/>
        </w:rPr>
        <w:t>electronically</w:t>
      </w:r>
      <w:r w:rsidRPr="00585E99">
        <w:rPr>
          <w:sz w:val="22"/>
          <w:szCs w:val="22"/>
        </w:rPr>
        <w:t xml:space="preserve"> by September 30, 2020.</w:t>
      </w:r>
    </w:p>
    <w:p w14:paraId="43E97A85" w14:textId="77777777" w:rsidR="00C00429" w:rsidRPr="00585E99" w:rsidRDefault="00C00429" w:rsidP="00C00429">
      <w:pPr>
        <w:pStyle w:val="NormalSS"/>
        <w:ind w:firstLine="0"/>
        <w:jc w:val="left"/>
        <w:rPr>
          <w:sz w:val="22"/>
          <w:szCs w:val="22"/>
        </w:rPr>
      </w:pPr>
    </w:p>
    <w:p w14:paraId="6F0E1D3A" w14:textId="77777777" w:rsidR="00C00429" w:rsidRPr="00585E99" w:rsidRDefault="00C00429" w:rsidP="00C00429">
      <w:pPr>
        <w:pStyle w:val="NormalSS"/>
        <w:ind w:firstLine="0"/>
        <w:jc w:val="left"/>
        <w:rPr>
          <w:sz w:val="22"/>
          <w:szCs w:val="22"/>
        </w:rPr>
      </w:pPr>
      <w:r w:rsidRPr="00585E99">
        <w:rPr>
          <w:sz w:val="22"/>
          <w:szCs w:val="22"/>
        </w:rPr>
        <w:t>For entities with a June 30</w:t>
      </w:r>
      <w:r w:rsidRPr="00585E99">
        <w:rPr>
          <w:sz w:val="22"/>
          <w:szCs w:val="22"/>
          <w:vertAlign w:val="superscript"/>
        </w:rPr>
        <w:t>th</w:t>
      </w:r>
      <w:r w:rsidRPr="00585E99">
        <w:rPr>
          <w:sz w:val="22"/>
          <w:szCs w:val="22"/>
        </w:rPr>
        <w:t xml:space="preserve"> </w:t>
      </w:r>
      <w:proofErr w:type="gramStart"/>
      <w:r w:rsidRPr="00585E99">
        <w:rPr>
          <w:sz w:val="22"/>
          <w:szCs w:val="22"/>
        </w:rPr>
        <w:t>year end</w:t>
      </w:r>
      <w:proofErr w:type="gramEnd"/>
      <w:r w:rsidRPr="00585E99">
        <w:rPr>
          <w:sz w:val="22"/>
          <w:szCs w:val="22"/>
        </w:rPr>
        <w:t xml:space="preserve">, the Fiscal Year (FY) 2020 Annual standardized filing shall be filed electronically within 100 days of the end of the fiscal year or by November 10, 2020. </w:t>
      </w:r>
    </w:p>
    <w:p w14:paraId="1F422177" w14:textId="77777777" w:rsidR="00FC4CF9" w:rsidRPr="00585E99" w:rsidRDefault="00FC4CF9" w:rsidP="008031A6">
      <w:pPr>
        <w:pStyle w:val="NormalSS"/>
        <w:ind w:firstLine="0"/>
        <w:rPr>
          <w:sz w:val="22"/>
          <w:szCs w:val="22"/>
        </w:rPr>
      </w:pPr>
    </w:p>
    <w:p w14:paraId="470AA1A8" w14:textId="77777777" w:rsidR="00FC4CF9" w:rsidRPr="00585E99" w:rsidRDefault="00FC4CF9" w:rsidP="008031A6">
      <w:pPr>
        <w:pStyle w:val="NormalSS"/>
        <w:ind w:firstLine="0"/>
        <w:rPr>
          <w:sz w:val="22"/>
          <w:szCs w:val="22"/>
        </w:rPr>
      </w:pPr>
      <w:r w:rsidRPr="00585E99">
        <w:rPr>
          <w:sz w:val="22"/>
          <w:szCs w:val="22"/>
        </w:rPr>
        <w:t xml:space="preserve">Subsequent quarterly and annual filings should continue on the same filing schedule as prescribed in </w:t>
      </w:r>
      <w:r w:rsidR="00E376CC" w:rsidRPr="00585E99">
        <w:rPr>
          <w:sz w:val="22"/>
          <w:szCs w:val="22"/>
        </w:rPr>
        <w:t>957 CMR 9.</w:t>
      </w:r>
      <w:r w:rsidRPr="00585E99">
        <w:rPr>
          <w:sz w:val="22"/>
          <w:szCs w:val="22"/>
        </w:rPr>
        <w:t>07.</w:t>
      </w:r>
    </w:p>
    <w:p w14:paraId="7DE8722F" w14:textId="77777777" w:rsidR="00FC4CF9" w:rsidRPr="00585E99" w:rsidRDefault="00FC4CF9" w:rsidP="008031A6">
      <w:pPr>
        <w:pStyle w:val="NormalSS"/>
        <w:ind w:firstLine="0"/>
        <w:rPr>
          <w:sz w:val="22"/>
          <w:szCs w:val="22"/>
        </w:rPr>
      </w:pPr>
    </w:p>
    <w:p w14:paraId="59717234" w14:textId="77777777" w:rsidR="00FC4CF9" w:rsidRPr="00FC4CF9" w:rsidRDefault="00E376CC" w:rsidP="008031A6">
      <w:pPr>
        <w:pStyle w:val="NormalSS"/>
        <w:ind w:firstLine="0"/>
        <w:rPr>
          <w:sz w:val="22"/>
          <w:szCs w:val="22"/>
        </w:rPr>
      </w:pPr>
      <w:r w:rsidRPr="00585E99">
        <w:rPr>
          <w:sz w:val="22"/>
          <w:szCs w:val="22"/>
        </w:rPr>
        <w:t>Revised</w:t>
      </w:r>
      <w:r w:rsidR="00FC4CF9" w:rsidRPr="00585E99">
        <w:rPr>
          <w:sz w:val="22"/>
          <w:szCs w:val="22"/>
        </w:rPr>
        <w:t xml:space="preserve"> electronic templates will be provided by September 1, 2020.</w:t>
      </w:r>
      <w:r w:rsidR="00FC4CF9">
        <w:rPr>
          <w:sz w:val="22"/>
          <w:szCs w:val="22"/>
        </w:rPr>
        <w:t xml:space="preserve"> </w:t>
      </w:r>
    </w:p>
    <w:p w14:paraId="70371BEA" w14:textId="77777777" w:rsidR="007534C8" w:rsidRDefault="007534C8" w:rsidP="001F144F">
      <w:pPr>
        <w:pStyle w:val="NormalSS"/>
        <w:ind w:firstLine="0"/>
        <w:jc w:val="left"/>
        <w:rPr>
          <w:sz w:val="22"/>
          <w:szCs w:val="22"/>
        </w:rPr>
      </w:pPr>
    </w:p>
    <w:p w14:paraId="0D36D6D9" w14:textId="77777777" w:rsidR="007534C8" w:rsidRDefault="007534C8" w:rsidP="001F144F">
      <w:pPr>
        <w:pStyle w:val="NormalSS"/>
        <w:ind w:firstLine="0"/>
        <w:jc w:val="left"/>
        <w:rPr>
          <w:sz w:val="22"/>
          <w:szCs w:val="22"/>
        </w:rPr>
      </w:pPr>
    </w:p>
    <w:p w14:paraId="0BDCF99C" w14:textId="77777777" w:rsidR="007534C8" w:rsidRDefault="007534C8" w:rsidP="001F144F">
      <w:pPr>
        <w:pStyle w:val="NormalSS"/>
        <w:ind w:firstLine="0"/>
        <w:jc w:val="left"/>
        <w:rPr>
          <w:sz w:val="22"/>
          <w:szCs w:val="22"/>
        </w:rPr>
      </w:pPr>
    </w:p>
    <w:p w14:paraId="376080AE" w14:textId="77777777" w:rsidR="00F85B2A" w:rsidRDefault="00F85B2A" w:rsidP="001F144F">
      <w:pPr>
        <w:pStyle w:val="NormalSS"/>
        <w:ind w:firstLine="0"/>
        <w:jc w:val="left"/>
        <w:rPr>
          <w:sz w:val="22"/>
          <w:szCs w:val="22"/>
        </w:rPr>
      </w:pPr>
    </w:p>
    <w:p w14:paraId="0C357718" w14:textId="77777777" w:rsidR="00F85B2A" w:rsidRDefault="00F85B2A" w:rsidP="001F144F">
      <w:pPr>
        <w:pStyle w:val="NormalSS"/>
        <w:ind w:firstLine="0"/>
        <w:jc w:val="left"/>
        <w:rPr>
          <w:sz w:val="22"/>
          <w:szCs w:val="22"/>
        </w:rPr>
      </w:pPr>
    </w:p>
    <w:p w14:paraId="7A268C10" w14:textId="77777777" w:rsidR="00F85B2A" w:rsidRDefault="00F85B2A" w:rsidP="001F144F">
      <w:pPr>
        <w:pStyle w:val="NormalSS"/>
        <w:ind w:firstLine="0"/>
        <w:jc w:val="left"/>
        <w:rPr>
          <w:sz w:val="22"/>
          <w:szCs w:val="22"/>
        </w:rPr>
      </w:pPr>
    </w:p>
    <w:p w14:paraId="33D8326E" w14:textId="77777777" w:rsidR="00F85B2A" w:rsidRDefault="00F85B2A" w:rsidP="001F144F">
      <w:pPr>
        <w:pStyle w:val="NormalSS"/>
        <w:ind w:firstLine="0"/>
        <w:jc w:val="left"/>
        <w:rPr>
          <w:sz w:val="22"/>
          <w:szCs w:val="22"/>
        </w:rPr>
      </w:pPr>
    </w:p>
    <w:p w14:paraId="0813801A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6F262CA0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268AE565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398F237E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43515D68" w14:textId="77777777" w:rsidR="00F92117" w:rsidRDefault="00F92117" w:rsidP="00F92117"/>
    <w:p w14:paraId="2379474F" w14:textId="77777777" w:rsidR="00F92117" w:rsidRDefault="00F92117" w:rsidP="00F92117">
      <w:pPr>
        <w:rPr>
          <w:sz w:val="22"/>
          <w:szCs w:val="22"/>
        </w:rPr>
      </w:pPr>
    </w:p>
    <w:p w14:paraId="7EB16415" w14:textId="77777777" w:rsidR="00BE39A0" w:rsidRDefault="00BE39A0" w:rsidP="00BC2825"/>
    <w:p w14:paraId="76597748" w14:textId="77777777" w:rsidR="008443D7" w:rsidRDefault="008443D7" w:rsidP="00BC2825"/>
    <w:sectPr w:rsidR="008443D7" w:rsidSect="003105EE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FF14F" w14:textId="77777777" w:rsidR="00D41EA1" w:rsidRDefault="00D41EA1">
      <w:r>
        <w:separator/>
      </w:r>
    </w:p>
  </w:endnote>
  <w:endnote w:type="continuationSeparator" w:id="0">
    <w:p w14:paraId="7AE70616" w14:textId="77777777" w:rsidR="00D41EA1" w:rsidRDefault="00D4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5D9AF" w14:textId="77777777" w:rsidR="00D41EA1" w:rsidRDefault="00D41EA1" w:rsidP="00D41EA1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75B6A" wp14:editId="03DADF22">
              <wp:simplePos x="0" y="0"/>
              <wp:positionH relativeFrom="column">
                <wp:posOffset>4467225</wp:posOffset>
              </wp:positionH>
              <wp:positionV relativeFrom="paragraph">
                <wp:posOffset>-11430</wp:posOffset>
              </wp:positionV>
              <wp:extent cx="2377440" cy="3258820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5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0E93A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1704CE7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C433D44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A924394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8375192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D41087C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2EF4A99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10DA959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54268609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4F0E4C7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8859A83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08853C81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  <w:proofErr w:type="gramEnd"/>
                        </w:p>
                        <w:p w14:paraId="7A6EDB14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14:paraId="09D793A4" w14:textId="77777777" w:rsidR="00D41EA1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www.mass.gov</w:t>
                          </w:r>
                          <w:proofErr w:type="gramEnd"/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/chi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FD75B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75pt;margin-top:-.9pt;width:187.2pt;height:256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" stroked="f">
              <v:textbox>
                <w:txbxContent>
                  <w:p w14:paraId="6A30E93A" w14:textId="77777777" w:rsidR="00D13946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1704CE7" w14:textId="77777777" w:rsidR="00D13946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C433D44" w14:textId="77777777" w:rsidR="00D13946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3A924394" w14:textId="77777777" w:rsidR="00D13946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8375192" w14:textId="77777777" w:rsidR="00D13946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D41087C" w14:textId="77777777" w:rsidR="00D13946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2EF4A99" w14:textId="77777777" w:rsidR="00D13946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10DA959" w14:textId="77777777" w:rsidR="00D13946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54268609" w14:textId="77777777" w:rsidR="00D13946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4F0E4C7" w14:textId="77777777" w:rsidR="00D13946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08859A83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08853C81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7A6EDB14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09D793A4" w14:textId="77777777" w:rsid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www.mass.gov/chi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  <w:p w14:paraId="74CCE69D" w14:textId="77777777" w:rsidR="00D41EA1" w:rsidRPr="00781E4B" w:rsidRDefault="00D41EA1" w:rsidP="00D41EA1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AEC4EF" wp14:editId="11C5FDC3">
              <wp:simplePos x="0" y="0"/>
              <wp:positionH relativeFrom="column">
                <wp:posOffset>4465955</wp:posOffset>
              </wp:positionH>
              <wp:positionV relativeFrom="paragraph">
                <wp:posOffset>204470</wp:posOffset>
              </wp:positionV>
              <wp:extent cx="2373630" cy="2891155"/>
              <wp:effectExtent l="0" t="0" r="381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289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48B8D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5F2A61EF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  <w:proofErr w:type="gramEnd"/>
                        </w:p>
                        <w:p w14:paraId="77FBF320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14:paraId="17AB02A5" w14:textId="77777777" w:rsidR="00D41EA1" w:rsidRPr="008A42D0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16913CB3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5CD260D0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0DD8F7D6" w14:textId="77777777" w:rsidR="00D41EA1" w:rsidRDefault="00D41EA1" w:rsidP="00D41EA1">
                          <w:pPr>
                            <w:pStyle w:val="Footer"/>
                          </w:pPr>
                        </w:p>
                        <w:p w14:paraId="57A89246" w14:textId="77777777" w:rsidR="00D41EA1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90076D8" w14:textId="77777777" w:rsidR="00D41EA1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1DC407F" w14:textId="77777777" w:rsidR="00D41EA1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9A2FDB7" w14:textId="77777777" w:rsidR="00D41EA1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CEC0417" w14:textId="77777777" w:rsidR="00D41EA1" w:rsidRPr="001B010B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25659915" w14:textId="77777777" w:rsidR="00D41EA1" w:rsidRPr="001B010B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45AE9358" w14:textId="77777777" w:rsidR="00D41EA1" w:rsidRPr="001B010B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  <w:proofErr w:type="gramEnd"/>
                        </w:p>
                        <w:p w14:paraId="55577334" w14:textId="77777777" w:rsidR="00D41EA1" w:rsidRPr="001B010B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14:paraId="16EB82BC" w14:textId="77777777" w:rsidR="00D41EA1" w:rsidRPr="001D5DE2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64032EE7" w14:textId="77777777" w:rsidR="00D41EA1" w:rsidRPr="001D5DE2" w:rsidRDefault="00D41EA1" w:rsidP="00D41EA1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</w:t>
                          </w:r>
                          <w:proofErr w:type="gramEnd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/chia</w:t>
                          </w:r>
                        </w:p>
                        <w:p w14:paraId="692B2E21" w14:textId="77777777" w:rsidR="00D41EA1" w:rsidRDefault="00D41EA1" w:rsidP="00D41EA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EAEC4EF" id="_x0000_s1027" type="#_x0000_t202" style="position:absolute;left:0;text-align:left;margin-left:351.65pt;margin-top:16.1pt;width:187.2pt;height:77.3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" stroked="f">
              <v:textbox style="mso-fit-shape-to-text:t">
                <w:txbxContent>
                  <w:p w14:paraId="10C48B8D" w14:textId="77777777" w:rsidR="00D13946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5F2A61EF" w14:textId="77777777" w:rsidR="00D13946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77FBF320" w14:textId="77777777" w:rsidR="00D13946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17AB02A5" w14:textId="77777777" w:rsidR="008A42D0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16913CB3" w14:textId="77777777" w:rsidR="00E45CF2" w:rsidRPr="00781E4B" w:rsidRDefault="00642AFA" w:rsidP="00E45CF2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5CD260D0" w14:textId="77777777" w:rsidR="00D13946" w:rsidRPr="00781E4B" w:rsidRDefault="00642AFA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0DD8F7D6" w14:textId="77777777" w:rsidR="00D13946" w:rsidRDefault="00642AFA" w:rsidP="00D13946">
                    <w:pPr>
                      <w:pStyle w:val="Footer"/>
                    </w:pPr>
                  </w:p>
                  <w:p w14:paraId="57A89246" w14:textId="77777777" w:rsidR="00D13946" w:rsidRDefault="00642AFA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90076D8" w14:textId="77777777" w:rsidR="00D13946" w:rsidRDefault="00642AFA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1DC407F" w14:textId="77777777" w:rsidR="00D13946" w:rsidRDefault="00642AFA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9A2FDB7" w14:textId="77777777" w:rsidR="00D13946" w:rsidRDefault="00642AFA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CEC0417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25659915" w14:textId="77777777" w:rsidR="00D13946" w:rsidRPr="001B010B" w:rsidRDefault="00642AFA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45AE9358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55577334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16EB82BC" w14:textId="77777777" w:rsidR="00D13946" w:rsidRPr="001D5DE2" w:rsidRDefault="00642AFA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64032EE7" w14:textId="77777777" w:rsidR="00D13946" w:rsidRPr="001D5DE2" w:rsidRDefault="00C46FF2" w:rsidP="00D13946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692B2E21" w14:textId="77777777" w:rsidR="00D13946" w:rsidRDefault="00642AFA" w:rsidP="00D13946"/>
                </w:txbxContent>
              </v:textbox>
            </v:shape>
          </w:pict>
        </mc:Fallback>
      </mc:AlternateContent>
    </w:r>
  </w:p>
  <w:p w14:paraId="73B7FF48" w14:textId="77777777" w:rsidR="00D41EA1" w:rsidRPr="00781E4B" w:rsidRDefault="00D41EA1" w:rsidP="00D41EA1">
    <w:pPr>
      <w:tabs>
        <w:tab w:val="center" w:pos="4320"/>
        <w:tab w:val="right" w:pos="8640"/>
      </w:tabs>
      <w:spacing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74C95CDF" w14:textId="77777777" w:rsidR="00D41EA1" w:rsidRPr="00781E4B" w:rsidRDefault="00D41EA1" w:rsidP="00D41EA1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6BFCD09E" w14:textId="77777777" w:rsidR="00D41EA1" w:rsidRPr="001D5DE2" w:rsidRDefault="00D41EA1" w:rsidP="00D41EA1">
    <w:pPr>
      <w:pStyle w:val="Footer"/>
      <w:jc w:val="right"/>
      <w:rPr>
        <w:rFonts w:ascii="Arial Bold" w:hAnsi="Arial Bold"/>
        <w:color w:val="00436E"/>
        <w:sz w:val="14"/>
        <w:szCs w:val="14"/>
      </w:rPr>
    </w:pPr>
    <w:proofErr w:type="gramStart"/>
    <w:r w:rsidRPr="00781E4B">
      <w:rPr>
        <w:rFonts w:ascii="Arial Bold" w:eastAsia="Calibri" w:hAnsi="Arial Bold"/>
        <w:color w:val="00436E"/>
        <w:sz w:val="14"/>
        <w:szCs w:val="14"/>
      </w:rPr>
      <w:t>www.mass.gov</w:t>
    </w:r>
    <w:proofErr w:type="gramEnd"/>
    <w:r w:rsidRPr="00781E4B">
      <w:rPr>
        <w:rFonts w:ascii="Arial Bold" w:eastAsia="Calibri" w:hAnsi="Arial Bold"/>
        <w:color w:val="00436E"/>
        <w:sz w:val="14"/>
        <w:szCs w:val="14"/>
      </w:rPr>
      <w:t>/chia</w:t>
    </w:r>
  </w:p>
  <w:p w14:paraId="5CDC361B" w14:textId="77777777" w:rsidR="00D41EA1" w:rsidRDefault="00D41EA1" w:rsidP="00D41EA1">
    <w:pPr>
      <w:tabs>
        <w:tab w:val="center" w:pos="4320"/>
        <w:tab w:val="right" w:pos="8640"/>
      </w:tabs>
      <w:spacing w:after="200" w:line="276" w:lineRule="auto"/>
      <w:jc w:val="right"/>
    </w:pP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3BEBA" w14:textId="77777777" w:rsidR="00D41EA1" w:rsidRPr="001D5DE2" w:rsidRDefault="00D41EA1" w:rsidP="00D41EA1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03CFF" wp14:editId="1F10FFC5">
              <wp:simplePos x="0" y="0"/>
              <wp:positionH relativeFrom="column">
                <wp:posOffset>4313555</wp:posOffset>
              </wp:positionH>
              <wp:positionV relativeFrom="paragraph">
                <wp:posOffset>-647700</wp:posOffset>
              </wp:positionV>
              <wp:extent cx="2373630" cy="264604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264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1C5A5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F284166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  <w:proofErr w:type="gramEnd"/>
                        </w:p>
                        <w:p w14:paraId="4661ECED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14:paraId="35CB1824" w14:textId="77777777" w:rsidR="00D41EA1" w:rsidRPr="008A42D0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4B69E0F6" w14:textId="77777777" w:rsidR="00D41EA1" w:rsidRPr="00781E4B" w:rsidRDefault="00D41EA1" w:rsidP="00D41EA1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37E82CF0" w14:textId="77777777" w:rsidR="00D41EA1" w:rsidRDefault="00D41EA1" w:rsidP="00D41EA1">
                          <w:pPr>
                            <w:pStyle w:val="Footer"/>
                          </w:pPr>
                        </w:p>
                        <w:p w14:paraId="6110B86B" w14:textId="77777777" w:rsidR="00D41EA1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597FDAC7" w14:textId="77777777" w:rsidR="00D41EA1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8F8F271" w14:textId="77777777" w:rsidR="00D41EA1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1798CFA" w14:textId="77777777" w:rsidR="00D41EA1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F2227F0" w14:textId="77777777" w:rsidR="00D41EA1" w:rsidRPr="001B010B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6C630936" w14:textId="77777777" w:rsidR="00D41EA1" w:rsidRPr="001B010B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2E655374" w14:textId="77777777" w:rsidR="00D41EA1" w:rsidRPr="001B010B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  <w:proofErr w:type="gramEnd"/>
                        </w:p>
                        <w:p w14:paraId="003F6648" w14:textId="77777777" w:rsidR="00D41EA1" w:rsidRPr="001B010B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14:paraId="1B43832B" w14:textId="77777777" w:rsidR="00D41EA1" w:rsidRPr="001D5DE2" w:rsidRDefault="00D41EA1" w:rsidP="00D41EA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080BC624" w14:textId="77777777" w:rsidR="00D41EA1" w:rsidRPr="001D5DE2" w:rsidRDefault="00D41EA1" w:rsidP="00D41EA1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</w:t>
                          </w:r>
                          <w:proofErr w:type="gramEnd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/chia</w:t>
                          </w:r>
                        </w:p>
                        <w:p w14:paraId="46BD19CF" w14:textId="77777777" w:rsidR="00D41EA1" w:rsidRDefault="00D41EA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8603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9.65pt;margin-top:-51pt;width:187.2pt;height:77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" stroked="f">
              <v:textbox style="mso-fit-shape-to-text:t">
                <w:txbxContent>
                  <w:p w14:paraId="5EA1C5A5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F284166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4661ECED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35CB1824" w14:textId="77777777" w:rsidR="008A42D0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4B69E0F6" w14:textId="77777777" w:rsidR="00781E4B" w:rsidRPr="00781E4B" w:rsidRDefault="00642AF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37E82CF0" w14:textId="77777777" w:rsidR="00781E4B" w:rsidRDefault="00642AFA" w:rsidP="00781E4B">
                    <w:pPr>
                      <w:pStyle w:val="Footer"/>
                    </w:pPr>
                  </w:p>
                  <w:p w14:paraId="6110B86B" w14:textId="77777777" w:rsidR="00781E4B" w:rsidRDefault="00642AF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597FDAC7" w14:textId="77777777" w:rsidR="00781E4B" w:rsidRDefault="00642AF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8F8F271" w14:textId="77777777" w:rsidR="00781E4B" w:rsidRDefault="00642AF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1798CFA" w14:textId="77777777" w:rsidR="00781E4B" w:rsidRDefault="00642AF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4F2227F0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6C630936" w14:textId="77777777" w:rsidR="008A6188" w:rsidRPr="001B010B" w:rsidRDefault="00642AF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2E655374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003F6648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1B43832B" w14:textId="77777777" w:rsidR="008A6188" w:rsidRPr="001D5DE2" w:rsidRDefault="00642AFA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080BC624" w14:textId="77777777" w:rsidR="008A6188" w:rsidRPr="001D5DE2" w:rsidRDefault="00C46FF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46BD19CF" w14:textId="77777777" w:rsidR="008A6188" w:rsidRDefault="00642AFA"/>
                </w:txbxContent>
              </v:textbox>
            </v:shape>
          </w:pict>
        </mc:Fallback>
      </mc:AlternateContent>
    </w:r>
  </w:p>
  <w:p w14:paraId="49D8C94D" w14:textId="77777777" w:rsidR="00D41EA1" w:rsidRPr="001D5DE2" w:rsidRDefault="00D41EA1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A0956" w14:textId="77777777" w:rsidR="00D41EA1" w:rsidRDefault="00D41EA1">
      <w:r>
        <w:separator/>
      </w:r>
    </w:p>
  </w:footnote>
  <w:footnote w:type="continuationSeparator" w:id="0">
    <w:p w14:paraId="7D251DFD" w14:textId="77777777" w:rsidR="00D41EA1" w:rsidRDefault="00D41E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31F98" w14:textId="77777777" w:rsidR="00D41EA1" w:rsidRDefault="00D41EA1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73A4DBE8" wp14:editId="16954AB8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8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37410"/>
    <w:multiLevelType w:val="hybridMultilevel"/>
    <w:tmpl w:val="6D9A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17"/>
    <w:rsid w:val="00012A44"/>
    <w:rsid w:val="0002725E"/>
    <w:rsid w:val="0003455F"/>
    <w:rsid w:val="00036A0D"/>
    <w:rsid w:val="0005198F"/>
    <w:rsid w:val="000522BC"/>
    <w:rsid w:val="00072E9A"/>
    <w:rsid w:val="00080DB2"/>
    <w:rsid w:val="000D1B12"/>
    <w:rsid w:val="00192FAC"/>
    <w:rsid w:val="001A3649"/>
    <w:rsid w:val="001F144F"/>
    <w:rsid w:val="002010D1"/>
    <w:rsid w:val="0024399B"/>
    <w:rsid w:val="00254440"/>
    <w:rsid w:val="0026486F"/>
    <w:rsid w:val="00296374"/>
    <w:rsid w:val="002C5024"/>
    <w:rsid w:val="002D2D8C"/>
    <w:rsid w:val="002D6C28"/>
    <w:rsid w:val="00304EC6"/>
    <w:rsid w:val="00305069"/>
    <w:rsid w:val="003105EE"/>
    <w:rsid w:val="00312F30"/>
    <w:rsid w:val="00353D7D"/>
    <w:rsid w:val="00365C36"/>
    <w:rsid w:val="00373EA1"/>
    <w:rsid w:val="00393292"/>
    <w:rsid w:val="003C6FCC"/>
    <w:rsid w:val="003E74EF"/>
    <w:rsid w:val="0041649D"/>
    <w:rsid w:val="004203EB"/>
    <w:rsid w:val="004276FD"/>
    <w:rsid w:val="004B1979"/>
    <w:rsid w:val="004C0BB0"/>
    <w:rsid w:val="00543808"/>
    <w:rsid w:val="005660EA"/>
    <w:rsid w:val="00585E99"/>
    <w:rsid w:val="005A76AC"/>
    <w:rsid w:val="005B33C5"/>
    <w:rsid w:val="00625CAE"/>
    <w:rsid w:val="00642AFA"/>
    <w:rsid w:val="00667EE7"/>
    <w:rsid w:val="006730EA"/>
    <w:rsid w:val="00693353"/>
    <w:rsid w:val="006A10CD"/>
    <w:rsid w:val="006B00B5"/>
    <w:rsid w:val="007248C6"/>
    <w:rsid w:val="007534C8"/>
    <w:rsid w:val="00772F3F"/>
    <w:rsid w:val="00775EBD"/>
    <w:rsid w:val="00781F05"/>
    <w:rsid w:val="00791866"/>
    <w:rsid w:val="007A09C3"/>
    <w:rsid w:val="007C2D32"/>
    <w:rsid w:val="007F5869"/>
    <w:rsid w:val="008031A6"/>
    <w:rsid w:val="008443D7"/>
    <w:rsid w:val="00852338"/>
    <w:rsid w:val="008572E3"/>
    <w:rsid w:val="008B7020"/>
    <w:rsid w:val="008C6C90"/>
    <w:rsid w:val="008E236F"/>
    <w:rsid w:val="009971C9"/>
    <w:rsid w:val="00A0392B"/>
    <w:rsid w:val="00A30DFB"/>
    <w:rsid w:val="00A559A2"/>
    <w:rsid w:val="00AB0FA7"/>
    <w:rsid w:val="00AB6B0D"/>
    <w:rsid w:val="00AC32A7"/>
    <w:rsid w:val="00B02C54"/>
    <w:rsid w:val="00B64BDD"/>
    <w:rsid w:val="00B96030"/>
    <w:rsid w:val="00BB52E5"/>
    <w:rsid w:val="00BC2825"/>
    <w:rsid w:val="00BE2F21"/>
    <w:rsid w:val="00BE39A0"/>
    <w:rsid w:val="00C00429"/>
    <w:rsid w:val="00C36429"/>
    <w:rsid w:val="00C46FF2"/>
    <w:rsid w:val="00C520FD"/>
    <w:rsid w:val="00C57377"/>
    <w:rsid w:val="00C95594"/>
    <w:rsid w:val="00C965EE"/>
    <w:rsid w:val="00CC208D"/>
    <w:rsid w:val="00CE07B9"/>
    <w:rsid w:val="00CE7DA0"/>
    <w:rsid w:val="00D339A0"/>
    <w:rsid w:val="00D41EA1"/>
    <w:rsid w:val="00D52AB2"/>
    <w:rsid w:val="00D624D6"/>
    <w:rsid w:val="00D71A56"/>
    <w:rsid w:val="00D86BD6"/>
    <w:rsid w:val="00D92F9C"/>
    <w:rsid w:val="00DC452C"/>
    <w:rsid w:val="00E00C5D"/>
    <w:rsid w:val="00E04FAA"/>
    <w:rsid w:val="00E153DC"/>
    <w:rsid w:val="00E1579D"/>
    <w:rsid w:val="00E34417"/>
    <w:rsid w:val="00E376CC"/>
    <w:rsid w:val="00E520E9"/>
    <w:rsid w:val="00EE3547"/>
    <w:rsid w:val="00EE5EB0"/>
    <w:rsid w:val="00F01B1B"/>
    <w:rsid w:val="00F46FF6"/>
    <w:rsid w:val="00F553EC"/>
    <w:rsid w:val="00F85B2A"/>
    <w:rsid w:val="00F92117"/>
    <w:rsid w:val="00FB209E"/>
    <w:rsid w:val="00FC1E92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587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21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921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2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uiPriority w:val="99"/>
    <w:rsid w:val="00F92117"/>
    <w:pPr>
      <w:tabs>
        <w:tab w:val="left" w:pos="432"/>
      </w:tabs>
      <w:ind w:firstLine="432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D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2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3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36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73E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4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21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921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2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uiPriority w:val="99"/>
    <w:rsid w:val="00F92117"/>
    <w:pPr>
      <w:tabs>
        <w:tab w:val="left" w:pos="432"/>
      </w:tabs>
      <w:ind w:firstLine="432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D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2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3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36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73E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2ECE1-E420-5540-8CCB-63390AB6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Houston</dc:creator>
  <cp:lastModifiedBy>Rick Vogel</cp:lastModifiedBy>
  <cp:revision>2</cp:revision>
  <cp:lastPrinted>2020-08-21T15:11:00Z</cp:lastPrinted>
  <dcterms:created xsi:type="dcterms:W3CDTF">2020-08-21T15:24:00Z</dcterms:created>
  <dcterms:modified xsi:type="dcterms:W3CDTF">2020-08-21T15:24:00Z</dcterms:modified>
</cp:coreProperties>
</file>