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E9" w:rsidRPr="00D97C15" w:rsidRDefault="00A447E9" w:rsidP="00A447E9">
      <w:pPr>
        <w:tabs>
          <w:tab w:val="left" w:pos="90"/>
          <w:tab w:val="center" w:pos="4680"/>
        </w:tabs>
        <w:jc w:val="center"/>
        <w:rPr>
          <w:rFonts w:ascii="Times New Roman" w:hAnsi="Times New Roman"/>
          <w:b/>
          <w:sz w:val="24"/>
          <w:szCs w:val="24"/>
        </w:rPr>
      </w:pPr>
      <w:r w:rsidRPr="00D97C15">
        <w:rPr>
          <w:rFonts w:ascii="Times New Roman" w:hAnsi="Times New Roman"/>
          <w:b/>
          <w:sz w:val="24"/>
          <w:szCs w:val="24"/>
        </w:rPr>
        <w:t xml:space="preserve">ADMINISTRATIVE BULLETIN </w:t>
      </w:r>
      <w:r w:rsidRPr="00B251CF">
        <w:rPr>
          <w:rFonts w:ascii="Times New Roman" w:hAnsi="Times New Roman"/>
          <w:b/>
          <w:sz w:val="24"/>
          <w:szCs w:val="24"/>
        </w:rPr>
        <w:t>14-</w:t>
      </w:r>
      <w:r w:rsidR="00B251CF">
        <w:rPr>
          <w:rFonts w:ascii="Times New Roman" w:hAnsi="Times New Roman"/>
          <w:b/>
          <w:sz w:val="24"/>
          <w:szCs w:val="24"/>
        </w:rPr>
        <w:t>07</w:t>
      </w:r>
    </w:p>
    <w:p w:rsidR="00A447E9" w:rsidRPr="00D97C15" w:rsidRDefault="00A447E9" w:rsidP="00A447E9">
      <w:pPr>
        <w:jc w:val="center"/>
        <w:rPr>
          <w:rFonts w:ascii="Times New Roman" w:hAnsi="Times New Roman"/>
          <w:b/>
          <w:sz w:val="24"/>
          <w:szCs w:val="24"/>
        </w:rPr>
      </w:pPr>
      <w:r w:rsidRPr="00D97C15">
        <w:rPr>
          <w:rFonts w:ascii="Times New Roman" w:hAnsi="Times New Roman"/>
          <w:b/>
          <w:sz w:val="24"/>
          <w:szCs w:val="24"/>
        </w:rPr>
        <w:t>957 CMR 4.00: Uniform Provider Reporting of the Standard Quality Measure Set</w:t>
      </w:r>
    </w:p>
    <w:p w:rsidR="00A447E9" w:rsidRPr="00253870" w:rsidRDefault="00A447E9" w:rsidP="00A447E9">
      <w:pPr>
        <w:jc w:val="center"/>
        <w:rPr>
          <w:rFonts w:ascii="Times New Roman" w:hAnsi="Times New Roman"/>
          <w:b/>
          <w:sz w:val="24"/>
          <w:szCs w:val="24"/>
        </w:rPr>
      </w:pPr>
      <w:r w:rsidRPr="00253870">
        <w:rPr>
          <w:rFonts w:ascii="Times New Roman" w:hAnsi="Times New Roman"/>
          <w:b/>
          <w:sz w:val="24"/>
          <w:szCs w:val="24"/>
        </w:rPr>
        <w:t xml:space="preserve">Effective </w:t>
      </w:r>
      <w:r>
        <w:rPr>
          <w:rFonts w:ascii="Times New Roman" w:hAnsi="Times New Roman"/>
          <w:b/>
          <w:sz w:val="24"/>
          <w:szCs w:val="24"/>
        </w:rPr>
        <w:t>May 15, 2014</w:t>
      </w:r>
    </w:p>
    <w:p w:rsidR="00A447E9" w:rsidRDefault="00A447E9" w:rsidP="00A447E9">
      <w:pPr>
        <w:rPr>
          <w:rFonts w:ascii="Times New Roman" w:hAnsi="Times New Roman"/>
        </w:rPr>
      </w:pPr>
      <w:r w:rsidRPr="00712566">
        <w:rPr>
          <w:rFonts w:ascii="Times New Roman" w:hAnsi="Times New Roman"/>
        </w:rPr>
        <w:t>The Center for Health Information and Analysis (Center) is issuing this Administrative Bulletin</w:t>
      </w:r>
      <w:r>
        <w:rPr>
          <w:rFonts w:ascii="Times New Roman" w:hAnsi="Times New Roman"/>
        </w:rPr>
        <w:t xml:space="preserve"> in accordance with 957 CMR 4.05(1)</w:t>
      </w:r>
      <w:r w:rsidRPr="00712566">
        <w:rPr>
          <w:rFonts w:ascii="Times New Roman" w:hAnsi="Times New Roman"/>
        </w:rPr>
        <w:t xml:space="preserve"> to </w:t>
      </w:r>
      <w:r>
        <w:rPr>
          <w:rFonts w:ascii="Times New Roman" w:hAnsi="Times New Roman"/>
        </w:rPr>
        <w:t>notify Providers, as defined in 957 CMR 4.02,</w:t>
      </w:r>
      <w:r w:rsidRPr="00712566">
        <w:rPr>
          <w:rFonts w:ascii="Times New Roman" w:hAnsi="Times New Roman"/>
        </w:rPr>
        <w:t xml:space="preserve"> </w:t>
      </w:r>
      <w:r>
        <w:rPr>
          <w:rFonts w:ascii="Times New Roman" w:hAnsi="Times New Roman"/>
        </w:rPr>
        <w:t xml:space="preserve">of the quality measures in the Standard Quality Measure Set (SQMS). </w:t>
      </w:r>
    </w:p>
    <w:p w:rsidR="001128D6" w:rsidRPr="001377F1" w:rsidRDefault="001128D6" w:rsidP="001128D6">
      <w:pPr>
        <w:rPr>
          <w:rFonts w:ascii="Times New Roman" w:hAnsi="Times New Roman"/>
        </w:rPr>
      </w:pPr>
      <w:r>
        <w:rPr>
          <w:rFonts w:ascii="Times New Roman" w:hAnsi="Times New Roman"/>
        </w:rPr>
        <w:t xml:space="preserve">The quality measures </w:t>
      </w:r>
      <w:r w:rsidR="003F116E">
        <w:rPr>
          <w:rFonts w:ascii="Times New Roman" w:hAnsi="Times New Roman"/>
        </w:rPr>
        <w:t>listed</w:t>
      </w:r>
      <w:r>
        <w:rPr>
          <w:rFonts w:ascii="Times New Roman" w:hAnsi="Times New Roman"/>
        </w:rPr>
        <w:t xml:space="preserve"> below were recommended to the Center by the Statewide Quality Advisory Committee (SQAC) on October 21, 2013. </w:t>
      </w:r>
      <w:r w:rsidR="00161749">
        <w:rPr>
          <w:rFonts w:ascii="Times New Roman" w:hAnsi="Times New Roman"/>
        </w:rPr>
        <w:t>Pursuant to</w:t>
      </w:r>
      <w:r w:rsidRPr="00A447E9">
        <w:rPr>
          <w:rFonts w:ascii="Times New Roman" w:hAnsi="Times New Roman"/>
        </w:rPr>
        <w:t xml:space="preserve"> </w:t>
      </w:r>
      <w:r>
        <w:rPr>
          <w:rFonts w:ascii="Times New Roman" w:hAnsi="Times New Roman"/>
        </w:rPr>
        <w:t>M.G.L. c. 12C, §</w:t>
      </w:r>
      <w:r w:rsidR="00161749">
        <w:rPr>
          <w:rFonts w:ascii="Times New Roman" w:hAnsi="Times New Roman"/>
        </w:rPr>
        <w:t xml:space="preserve"> </w:t>
      </w:r>
      <w:r>
        <w:rPr>
          <w:rFonts w:ascii="Times New Roman" w:hAnsi="Times New Roman"/>
        </w:rPr>
        <w:t xml:space="preserve">14, the SQAC is required to make its recommendation of SQMS measures to the Center annually, on or before November 1. The Center will notify Providers of changes to the SQMS by Administrative Bulletin, as necessary. </w:t>
      </w:r>
      <w:r w:rsidR="005F479F">
        <w:rPr>
          <w:rFonts w:ascii="Times New Roman" w:hAnsi="Times New Roman"/>
        </w:rPr>
        <w:t xml:space="preserve">Until further notice, Providers are not required to submit data for these measures to the Center. </w:t>
      </w:r>
    </w:p>
    <w:tbl>
      <w:tblPr>
        <w:tblW w:w="98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742"/>
        <w:gridCol w:w="11"/>
        <w:gridCol w:w="1219"/>
        <w:gridCol w:w="11"/>
        <w:gridCol w:w="875"/>
        <w:gridCol w:w="12"/>
      </w:tblGrid>
      <w:tr w:rsidR="00C35BEA" w:rsidRPr="00D81026" w:rsidTr="00A447E9">
        <w:trPr>
          <w:gridAfter w:val="1"/>
          <w:wAfter w:w="12" w:type="dxa"/>
          <w:cantSplit/>
          <w:trHeight w:val="70"/>
          <w:tblHeader/>
        </w:trPr>
        <w:tc>
          <w:tcPr>
            <w:tcW w:w="7742" w:type="dxa"/>
            <w:shd w:val="clear" w:color="auto" w:fill="auto"/>
            <w:vAlign w:val="center"/>
          </w:tcPr>
          <w:p w:rsidR="00A447E9" w:rsidRPr="00A447E9" w:rsidRDefault="00A447E9" w:rsidP="00A447E9">
            <w:pPr>
              <w:jc w:val="center"/>
              <w:rPr>
                <w:rFonts w:ascii="Times New Roman" w:eastAsia="Times New Roman" w:hAnsi="Times New Roman"/>
                <w:b/>
                <w:bCs/>
                <w:sz w:val="20"/>
                <w:szCs w:val="20"/>
              </w:rPr>
            </w:pPr>
            <w:r w:rsidRPr="00A447E9">
              <w:rPr>
                <w:rFonts w:ascii="Times New Roman" w:eastAsia="Times New Roman" w:hAnsi="Times New Roman"/>
                <w:b/>
                <w:bCs/>
                <w:sz w:val="20"/>
                <w:szCs w:val="20"/>
              </w:rPr>
              <w:t>Measure/Tool Name</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b/>
                <w:bCs/>
                <w:sz w:val="20"/>
                <w:szCs w:val="20"/>
              </w:rPr>
            </w:pPr>
            <w:r w:rsidRPr="00A447E9">
              <w:rPr>
                <w:rFonts w:ascii="Times New Roman" w:eastAsia="Times New Roman" w:hAnsi="Times New Roman"/>
                <w:b/>
                <w:bCs/>
                <w:sz w:val="20"/>
                <w:szCs w:val="20"/>
              </w:rPr>
              <w:t>Set</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b/>
                <w:bCs/>
                <w:sz w:val="20"/>
                <w:szCs w:val="20"/>
              </w:rPr>
            </w:pPr>
            <w:r w:rsidRPr="00A447E9">
              <w:rPr>
                <w:rFonts w:ascii="Times New Roman" w:eastAsia="Times New Roman" w:hAnsi="Times New Roman"/>
                <w:b/>
                <w:bCs/>
                <w:sz w:val="20"/>
                <w:szCs w:val="20"/>
              </w:rPr>
              <w:t>NQF</w:t>
            </w:r>
            <w:r w:rsidR="00DB37C2">
              <w:rPr>
                <w:rFonts w:ascii="Times New Roman" w:eastAsia="Times New Roman" w:hAnsi="Times New Roman"/>
                <w:b/>
                <w:bCs/>
                <w:sz w:val="20"/>
                <w:szCs w:val="20"/>
              </w:rPr>
              <w:t>*</w:t>
            </w:r>
            <w:r w:rsidRPr="00A447E9">
              <w:rPr>
                <w:rFonts w:ascii="Times New Roman" w:eastAsia="Times New Roman" w:hAnsi="Times New Roman"/>
                <w:b/>
                <w:bCs/>
                <w:sz w:val="20"/>
                <w:szCs w:val="20"/>
              </w:rPr>
              <w:t xml:space="preserve"> #</w:t>
            </w:r>
          </w:p>
        </w:tc>
      </w:tr>
      <w:tr w:rsidR="004B76E8" w:rsidRPr="00D81026" w:rsidTr="005913E0">
        <w:trPr>
          <w:gridAfter w:val="1"/>
          <w:wAfter w:w="12" w:type="dxa"/>
          <w:trHeight w:val="146"/>
        </w:trPr>
        <w:tc>
          <w:tcPr>
            <w:tcW w:w="9858" w:type="dxa"/>
            <w:gridSpan w:val="5"/>
            <w:shd w:val="clear" w:color="auto" w:fill="D3DFEE"/>
            <w:vAlign w:val="center"/>
          </w:tcPr>
          <w:p w:rsidR="004B76E8" w:rsidRPr="004B76E8" w:rsidRDefault="004B76E8" w:rsidP="004B76E8">
            <w:pPr>
              <w:jc w:val="center"/>
              <w:rPr>
                <w:rFonts w:ascii="Times New Roman" w:eastAsia="Times New Roman" w:hAnsi="Times New Roman"/>
                <w:b/>
                <w:sz w:val="20"/>
                <w:szCs w:val="20"/>
              </w:rPr>
            </w:pPr>
            <w:r w:rsidRPr="004B76E8">
              <w:rPr>
                <w:rFonts w:ascii="Times New Roman" w:eastAsia="Times New Roman" w:hAnsi="Times New Roman"/>
                <w:b/>
                <w:sz w:val="20"/>
                <w:szCs w:val="20"/>
              </w:rPr>
              <w:t>Physician Measures</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Consumer Assessment of Healthcare Providers and Systems (CAHPS) - Clinician &amp; Group Survey</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CAHPS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Therapeutic monitoring: Annual monitoring for patients on persistent medications</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Use of spirometry testing in the assessment and diagnosis of chronic obstructive pulmonary disease (COPD)</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577</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Cholesterol management for patients with cardiovascular conditions</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Controlling high blood pressure</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18</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 xml:space="preserve">Comprehensive diabetes care </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731</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Use of appropriate medications for people with asthma</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36</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Disease modifying anti-rheumatic drug therapy for rheumatoid arthritis</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54</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Osteoporosis management in women who had fracture</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53</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Pharmacotherapy of chronic obstructive pulmonary disease (COPD) exacerbation</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lastRenderedPageBreak/>
              <w:t>Medication management for people with asthma (MMA)</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1799</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Asthma Medication Ratio</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1800</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CAHPS Health Plan Survey: Children with Chronic Conditions Supplement</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9</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Fall Risk Management</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35</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Potentially harmful drug-disease interactions in the elderly</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Avoidance of antibiotic treatment in adults with acute bronchitis</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58</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Use of imaging studies for low back pain</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52</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Use of high-risk medications in the elderly</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22</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Care for older adults - medication review</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553</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Persistence of beta-blocker treatment after a heart attack</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71</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Glaucoma screening in older adults</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Urinary Incontinence Management in Older Adults</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30</w:t>
            </w: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Counseling on Physical Activity in Older Adults</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29</w:t>
            </w:r>
          </w:p>
        </w:tc>
      </w:tr>
      <w:tr w:rsidR="00C35BEA" w:rsidRPr="00D81026" w:rsidTr="00A447E9">
        <w:trPr>
          <w:gridAfter w:val="1"/>
          <w:wAfter w:w="12" w:type="dxa"/>
          <w:trHeight w:val="146"/>
        </w:trPr>
        <w:tc>
          <w:tcPr>
            <w:tcW w:w="7742" w:type="dxa"/>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Aspirin Use and Discussion</w:t>
            </w:r>
          </w:p>
        </w:tc>
        <w:tc>
          <w:tcPr>
            <w:tcW w:w="1230"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42" w:type="dxa"/>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Medication reconciliation post-discharge</w:t>
            </w:r>
          </w:p>
        </w:tc>
        <w:tc>
          <w:tcPr>
            <w:tcW w:w="1230"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554</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Appropriate treatment for children with upper respiratory infection</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69</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Well-child visits in the third, fourth, fifth and sixth years of life</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1516</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Appropriate testing of children with pharyngitis</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Follow-up care for children prescribed ADHD medication</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108</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Adolescent well-care visits</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Childhood immunization status</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38</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lastRenderedPageBreak/>
              <w:t>Immunizations for adolescents</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Lead screening in children</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Weight assessment and counseling for nutrition and physical activity for children/adolescents</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24</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Children's and adolescents' access to primary care practitioners</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A447E9">
            <w:pPr>
              <w:tabs>
                <w:tab w:val="left" w:pos="750"/>
              </w:tabs>
              <w:rPr>
                <w:rFonts w:ascii="Times New Roman" w:eastAsia="Times New Roman" w:hAnsi="Times New Roman"/>
                <w:sz w:val="20"/>
                <w:szCs w:val="20"/>
              </w:rPr>
            </w:pPr>
            <w:r w:rsidRPr="00A447E9">
              <w:rPr>
                <w:rFonts w:ascii="Times New Roman" w:eastAsia="Times New Roman" w:hAnsi="Times New Roman"/>
                <w:sz w:val="20"/>
                <w:szCs w:val="20"/>
              </w:rPr>
              <w:t>Human Papillomavirus Vaccine for Female Adolescents</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1959</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Frequency of ongoing prenatal care</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1391</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Prenatal and postpartum care</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1517</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Well-child visits in the first 15 months of life</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1392</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Breast cancer screening</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Colorectal cancer screening</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34</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Cervical cancer screening</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32</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Chlamydia screening in women</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33</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Adult BMI Assessment</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Adults' access to preventive/ambulatory health services</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Flu shots for older adults</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Pneumonia vaccination status for older adults</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43</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Osteoporosis Testing in Older Women</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37</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Flu Shots for Adults Ages 50-64</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39</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Annual dental visit</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1388</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Initiation and engagement of alcohol and other drug dependence treatment</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4</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Medical Assistance With Smoking and Tobacco Use Cessation</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27</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lastRenderedPageBreak/>
              <w:t>Antidepressant medication management</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105</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Follow-up after hospitalization for mental illness</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576</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Adherence to Antipsychotics for Individuals with Schizophrenia</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1879</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Diabetes Screening for People with Schizophrenia or Bipolar Disorder Who are Using Antipsychotic Medications</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1932</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Diabetes Monitoring for People with Diabetes and Schizophrenia</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1934</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Cardiovascular Monitoring for People with Cardiovascular Disease and Schizophrenia</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1933</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Asthma in younger adults (PQI 15)</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PQI</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283</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Chronic obstructive pulmonary disease (PQI 5)</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PQI</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275</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Congestive Heart Failure Admission Rate (PQI 8)</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PQI</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277</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Diabetes Short-Term Complications Admission Rate (PQI 1)</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PQI</w:t>
            </w: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272</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Low Birth Weight Rate (PQI 9)</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PQI</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278</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sz w:val="20"/>
                <w:szCs w:val="20"/>
              </w:rPr>
            </w:pPr>
            <w:r w:rsidRPr="00A447E9">
              <w:rPr>
                <w:rFonts w:ascii="Times New Roman" w:eastAsia="Times New Roman" w:hAnsi="Times New Roman"/>
                <w:sz w:val="20"/>
                <w:szCs w:val="20"/>
              </w:rPr>
              <w:t>Screening for Clinical Depression</w:t>
            </w:r>
          </w:p>
        </w:tc>
        <w:tc>
          <w:tcPr>
            <w:tcW w:w="1219" w:type="dxa"/>
            <w:shd w:val="clear" w:color="auto" w:fill="auto"/>
            <w:vAlign w:val="center"/>
          </w:tcPr>
          <w:p w:rsidR="00A447E9" w:rsidRPr="00A447E9" w:rsidRDefault="00A447E9" w:rsidP="00A447E9">
            <w:pPr>
              <w:jc w:val="center"/>
              <w:rPr>
                <w:rFonts w:ascii="Times New Roman" w:eastAsia="Times New Roman" w:hAnsi="Times New Roman"/>
                <w:sz w:val="20"/>
                <w:szCs w:val="20"/>
              </w:rPr>
            </w:pPr>
          </w:p>
        </w:tc>
        <w:tc>
          <w:tcPr>
            <w:tcW w:w="886" w:type="dxa"/>
            <w:gridSpan w:val="2"/>
            <w:shd w:val="clear" w:color="auto" w:fill="auto"/>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418</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Measure pair: a. Tobacco Use Assessment, b. Tobacco Cessation Intervention</w:t>
            </w:r>
          </w:p>
        </w:tc>
        <w:tc>
          <w:tcPr>
            <w:tcW w:w="1219" w:type="dxa"/>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AMA-PCPI</w:t>
            </w:r>
          </w:p>
        </w:tc>
        <w:tc>
          <w:tcPr>
            <w:tcW w:w="886" w:type="dxa"/>
            <w:gridSpan w:val="2"/>
            <w:shd w:val="clear" w:color="auto" w:fill="D3DFEE"/>
            <w:vAlign w:val="center"/>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28</w:t>
            </w:r>
          </w:p>
        </w:tc>
      </w:tr>
      <w:tr w:rsidR="00C35BEA" w:rsidRPr="00D81026" w:rsidTr="00A447E9">
        <w:trPr>
          <w:gridAfter w:val="1"/>
          <w:wAfter w:w="12" w:type="dxa"/>
          <w:trHeight w:val="146"/>
        </w:trPr>
        <w:tc>
          <w:tcPr>
            <w:tcW w:w="7753" w:type="dxa"/>
            <w:gridSpan w:val="2"/>
            <w:shd w:val="clear" w:color="auto" w:fill="auto"/>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Unhealthy Alcohol Use: Screening &amp; Brief Counseling</w:t>
            </w:r>
          </w:p>
        </w:tc>
        <w:tc>
          <w:tcPr>
            <w:tcW w:w="1219" w:type="dxa"/>
            <w:shd w:val="clear" w:color="auto" w:fill="auto"/>
            <w:vAlign w:val="center"/>
          </w:tcPr>
          <w:p w:rsidR="00A447E9" w:rsidRPr="00A447E9" w:rsidRDefault="004B76E8"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AMA-PCPI</w:t>
            </w:r>
          </w:p>
        </w:tc>
        <w:tc>
          <w:tcPr>
            <w:tcW w:w="886" w:type="dxa"/>
            <w:gridSpan w:val="2"/>
            <w:shd w:val="clear" w:color="auto" w:fill="auto"/>
            <w:vAlign w:val="center"/>
          </w:tcPr>
          <w:p w:rsidR="00A447E9" w:rsidRPr="00A447E9" w:rsidRDefault="004B76E8" w:rsidP="00A447E9">
            <w:pPr>
              <w:jc w:val="center"/>
              <w:rPr>
                <w:rFonts w:ascii="Times New Roman" w:eastAsia="Times New Roman" w:hAnsi="Times New Roman"/>
                <w:sz w:val="20"/>
                <w:szCs w:val="20"/>
              </w:rPr>
            </w:pPr>
            <w:r>
              <w:rPr>
                <w:rFonts w:ascii="Times New Roman" w:eastAsia="Times New Roman" w:hAnsi="Times New Roman"/>
                <w:sz w:val="20"/>
                <w:szCs w:val="20"/>
              </w:rPr>
              <w:t>2152</w:t>
            </w:r>
          </w:p>
        </w:tc>
      </w:tr>
      <w:tr w:rsidR="00A447E9" w:rsidRPr="00D81026" w:rsidTr="00A447E9">
        <w:trPr>
          <w:gridAfter w:val="1"/>
          <w:wAfter w:w="12" w:type="dxa"/>
          <w:trHeight w:val="146"/>
        </w:trPr>
        <w:tc>
          <w:tcPr>
            <w:tcW w:w="7753" w:type="dxa"/>
            <w:gridSpan w:val="2"/>
            <w:shd w:val="clear" w:color="auto" w:fill="D3DFEE"/>
            <w:vAlign w:val="center"/>
          </w:tcPr>
          <w:p w:rsidR="00A447E9" w:rsidRPr="00A447E9" w:rsidRDefault="00A447E9" w:rsidP="008A301C">
            <w:pPr>
              <w:rPr>
                <w:rFonts w:ascii="Times New Roman" w:eastAsia="Times New Roman" w:hAnsi="Times New Roman"/>
                <w:bCs/>
                <w:sz w:val="20"/>
                <w:szCs w:val="20"/>
              </w:rPr>
            </w:pPr>
            <w:r w:rsidRPr="00A447E9">
              <w:rPr>
                <w:rFonts w:ascii="Times New Roman" w:eastAsia="Times New Roman" w:hAnsi="Times New Roman"/>
                <w:bCs/>
                <w:sz w:val="20"/>
                <w:szCs w:val="20"/>
              </w:rPr>
              <w:t>Asthma Emergency Department Visits</w:t>
            </w:r>
          </w:p>
        </w:tc>
        <w:tc>
          <w:tcPr>
            <w:tcW w:w="1219" w:type="dxa"/>
            <w:shd w:val="clear" w:color="auto" w:fill="D3DFEE"/>
            <w:vAlign w:val="center"/>
          </w:tcPr>
          <w:p w:rsidR="00A447E9" w:rsidRPr="00A447E9" w:rsidRDefault="00A447E9" w:rsidP="008A301C">
            <w:pPr>
              <w:rPr>
                <w:rFonts w:ascii="Times New Roman" w:eastAsia="Times New Roman" w:hAnsi="Times New Roman"/>
                <w:sz w:val="20"/>
                <w:szCs w:val="20"/>
              </w:rPr>
            </w:pP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1381</w:t>
            </w:r>
          </w:p>
        </w:tc>
      </w:tr>
      <w:tr w:rsidR="004B76E8" w:rsidRPr="00D81026" w:rsidTr="005913E0">
        <w:tblPrEx>
          <w:tblLook w:val="04A0" w:firstRow="1" w:lastRow="0" w:firstColumn="1" w:lastColumn="0" w:noHBand="0" w:noVBand="1"/>
        </w:tblPrEx>
        <w:trPr>
          <w:gridAfter w:val="1"/>
          <w:wAfter w:w="12" w:type="dxa"/>
          <w:trHeight w:val="146"/>
        </w:trPr>
        <w:tc>
          <w:tcPr>
            <w:tcW w:w="9858" w:type="dxa"/>
            <w:gridSpan w:val="5"/>
            <w:shd w:val="clear" w:color="auto" w:fill="auto"/>
            <w:vAlign w:val="center"/>
          </w:tcPr>
          <w:p w:rsidR="004B76E8" w:rsidRPr="004B76E8" w:rsidRDefault="004B76E8" w:rsidP="004B76E8">
            <w:pPr>
              <w:jc w:val="center"/>
              <w:rPr>
                <w:rFonts w:ascii="Times New Roman" w:eastAsia="Times New Roman" w:hAnsi="Times New Roman"/>
                <w:b/>
                <w:sz w:val="20"/>
                <w:szCs w:val="20"/>
              </w:rPr>
            </w:pPr>
            <w:r w:rsidRPr="004B76E8">
              <w:rPr>
                <w:rFonts w:ascii="Times New Roman" w:eastAsia="Times New Roman" w:hAnsi="Times New Roman"/>
                <w:b/>
                <w:bCs/>
                <w:sz w:val="20"/>
                <w:szCs w:val="20"/>
              </w:rPr>
              <w:t>Acute Care Hospitals</w:t>
            </w:r>
          </w:p>
        </w:tc>
      </w:tr>
      <w:tr w:rsidR="00C35BEA"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Prophylactic antibiotic received within 1-hour prior to surgical incision (SCIP-Inf-1a)</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SCIP-Inf</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527</w:t>
            </w:r>
          </w:p>
        </w:tc>
      </w:tr>
      <w:tr w:rsidR="00A447E9"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Prophylactic antibiotic selection for surgical patients (SCIP-Inf-2a)</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SCIP-Inf</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528</w:t>
            </w:r>
          </w:p>
        </w:tc>
      </w:tr>
      <w:tr w:rsidR="00C35BEA"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Prophylactic antibiotics discontinued within 24 hours after surgery end time (SCIP-Inf-3a)</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SCIP-Inf</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529</w:t>
            </w:r>
          </w:p>
        </w:tc>
      </w:tr>
      <w:tr w:rsidR="00A447E9"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Cardiac Surgery Patients With Controlled Postoperative Blood Glucose (SCIP-Inf-4)</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SCIP-Inf</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300</w:t>
            </w:r>
          </w:p>
        </w:tc>
      </w:tr>
      <w:tr w:rsidR="00C35BEA"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 xml:space="preserve">Urinary Catheter Removed on Postoperative Day 1 (POD 1) or Postoperative Day 2 (POD 2) </w:t>
            </w:r>
            <w:r w:rsidRPr="00A447E9">
              <w:rPr>
                <w:rFonts w:ascii="Times New Roman" w:eastAsia="Times New Roman" w:hAnsi="Times New Roman"/>
                <w:bCs/>
                <w:sz w:val="20"/>
                <w:szCs w:val="20"/>
              </w:rPr>
              <w:lastRenderedPageBreak/>
              <w:t>with day of surgery being day zero (SCIP-Inf-9)</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lastRenderedPageBreak/>
              <w:t>SCIP-Inf</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453</w:t>
            </w:r>
          </w:p>
        </w:tc>
      </w:tr>
      <w:tr w:rsidR="00A447E9"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lastRenderedPageBreak/>
              <w:t>Surgery Patients with Perioperative Temperature Management (SCIP-Inf-10)</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SCIP-Inf</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452</w:t>
            </w:r>
          </w:p>
        </w:tc>
      </w:tr>
      <w:tr w:rsidR="00C35BEA"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Surgery patients with recommended venous thromboembolism prophylaxis ordered (SCIP-VTE-1)</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SCIP-VTE</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Surgery patients who received appropriate venous thromboembolism prophylaxis within 24 hours prior to surgery to 24 hours after surgery (SCIP-VTE-2)</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SCIP-VTE</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218</w:t>
            </w:r>
          </w:p>
        </w:tc>
      </w:tr>
      <w:tr w:rsidR="00C35BEA"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Surgery Patients on Beta-Blocker Therapy Prior to Arrival Who received a Beta-Blocker During the Perioperative Period (SCIP-Card-2)</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SCIP-Card</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284</w:t>
            </w:r>
          </w:p>
        </w:tc>
      </w:tr>
      <w:tr w:rsidR="00A447E9"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Plan All-Cause Readmission (NCQA)</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HEDIS</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1768</w:t>
            </w:r>
          </w:p>
        </w:tc>
      </w:tr>
      <w:tr w:rsidR="00C35BEA"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Relievers for inpatient asthma (CAC 1)</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CAC</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143</w:t>
            </w:r>
          </w:p>
        </w:tc>
      </w:tr>
      <w:tr w:rsidR="00A447E9"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Systemic corticosteroids for inpatient asthma (CAC 2)</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CAC</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144</w:t>
            </w:r>
          </w:p>
        </w:tc>
      </w:tr>
      <w:tr w:rsidR="00C35BEA" w:rsidRPr="00D81026" w:rsidTr="00A447E9">
        <w:tblPrEx>
          <w:tblLook w:val="04A0" w:firstRow="1" w:lastRow="0" w:firstColumn="1" w:lastColumn="0" w:noHBand="0" w:noVBand="1"/>
        </w:tblPrEx>
        <w:trPr>
          <w:gridAfter w:val="1"/>
          <w:wAfter w:w="12" w:type="dxa"/>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Home Management Plan of Care Document Given to Patient/Caregiver (CAC 3)</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CAC</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Hospital-Wide All-Cause Unplanned Readmission Measure (Yale/CMS)</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1789</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Timely transmission of transition record (CCM 3)</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CCM</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Detailed Discharge Instructions (HF 1)</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HF</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Evaluation of Left Ventricular Systolic (LVS) Function (HF 2)</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HF</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135</w:t>
            </w: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Angiotensin converting enzyme inhibitor (ACEI) or angiotensin receptor blocker (ARB) for left ventricular systolic dysfunction (LVSD) (HF 3)</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HF</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162</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Blood cultures performed in the emergency department prior to initial antibiotic received in hospital (PN 3b)</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PN</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Initial antibiotic selection for community-acquired pneumonia (CAP) in immunocompetent patients (PN 6)</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PN</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147</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Aspirin prescribed at discharge for AMI (AMI 2)</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AMI</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142</w:t>
            </w: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Fibrinolytic therapy received within 30 minutes of hospital arrival (AMI 7a)</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AMI</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164</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lastRenderedPageBreak/>
              <w:t>Primary percutaneous coronary intervention (PCI) received within 90 minutes of hospital arrival (AMI 8a)</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AMI</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163</w:t>
            </w: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Statin Prescribed at Discharge (AMI 10)</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AMI</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639</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Hospital Consumer Assessment of Healthcare Providers and Systems (HCAHPS) (Includes 13 measures: 10 HCAHPS and CTM-3)</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CAHPS</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166/228</w:t>
            </w: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Computerized physician order entry standards</w:t>
            </w:r>
          </w:p>
        </w:tc>
        <w:tc>
          <w:tcPr>
            <w:tcW w:w="1219" w:type="dxa"/>
            <w:shd w:val="clear" w:color="auto" w:fill="D3DFEE"/>
          </w:tcPr>
          <w:p w:rsidR="00A447E9" w:rsidRPr="00A447E9" w:rsidRDefault="004B76E8" w:rsidP="00A447E9">
            <w:pPr>
              <w:jc w:val="center"/>
              <w:rPr>
                <w:rFonts w:ascii="Times New Roman" w:eastAsia="Times New Roman" w:hAnsi="Times New Roman"/>
                <w:sz w:val="20"/>
                <w:szCs w:val="20"/>
              </w:rPr>
            </w:pPr>
            <w:r>
              <w:rPr>
                <w:rFonts w:ascii="Times New Roman" w:eastAsia="Times New Roman" w:hAnsi="Times New Roman"/>
                <w:sz w:val="20"/>
                <w:szCs w:val="20"/>
              </w:rPr>
              <w:t>Leapfrog</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Rate of Babies Electively Delivered Before Full-Term</w:t>
            </w:r>
          </w:p>
        </w:tc>
        <w:tc>
          <w:tcPr>
            <w:tcW w:w="1219" w:type="dxa"/>
            <w:shd w:val="clear" w:color="auto" w:fill="auto"/>
          </w:tcPr>
          <w:p w:rsidR="00A447E9" w:rsidRPr="00A447E9" w:rsidRDefault="004B76E8" w:rsidP="00A447E9">
            <w:pPr>
              <w:jc w:val="center"/>
              <w:rPr>
                <w:rFonts w:ascii="Times New Roman" w:eastAsia="Times New Roman" w:hAnsi="Times New Roman"/>
                <w:sz w:val="20"/>
                <w:szCs w:val="20"/>
              </w:rPr>
            </w:pPr>
            <w:r>
              <w:rPr>
                <w:rFonts w:ascii="Times New Roman" w:eastAsia="Times New Roman" w:hAnsi="Times New Roman"/>
                <w:sz w:val="20"/>
                <w:szCs w:val="20"/>
              </w:rPr>
              <w:t>Leapfrog</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Hospice and Palliative Care – Treatment Preferences</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1641</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Pressure Ulcer Rate (PSI 3)</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Iatrogenic Pneumothorax Rate (PSI 6)</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346</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Central Venous Catheter-related Blood Stream Infection Rate (PSI 7)</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Post-operative Respiratory Failure Rate (PSI 11)</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533</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Post-operative Pulmonary Embolism or Deep Vein Thrombosis (PE/DVT) Rate (PSI 12)</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450</w:t>
            </w: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Accidental Puncture or Laceration Rate (PSI 15)</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345</w:t>
            </w: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Post-operative Hip Fracture Rate (PSI 8)</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Birth Trauma Rate: Injury to Neonates (PSI 17)</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Obstetric Trauma: Vaginal Delivery with Instrument (PSI 18)</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r>
      <w:tr w:rsidR="00A447E9"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Obstetric Trauma: Vaginal Delivery without Instrument (PSI 19)</w:t>
            </w:r>
          </w:p>
        </w:tc>
        <w:tc>
          <w:tcPr>
            <w:tcW w:w="1219" w:type="dxa"/>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PSI</w:t>
            </w:r>
          </w:p>
        </w:tc>
        <w:tc>
          <w:tcPr>
            <w:tcW w:w="886" w:type="dxa"/>
            <w:gridSpan w:val="2"/>
            <w:shd w:val="clear" w:color="auto" w:fill="D3DFEE"/>
          </w:tcPr>
          <w:p w:rsidR="00A447E9" w:rsidRPr="00A447E9" w:rsidRDefault="00A447E9" w:rsidP="00A447E9">
            <w:pPr>
              <w:jc w:val="center"/>
              <w:rPr>
                <w:rFonts w:ascii="Times New Roman" w:eastAsia="Times New Roman" w:hAnsi="Times New Roman"/>
                <w:sz w:val="20"/>
                <w:szCs w:val="20"/>
              </w:rPr>
            </w:pPr>
          </w:p>
        </w:tc>
      </w:tr>
      <w:tr w:rsidR="00C35BEA" w:rsidRPr="00D81026" w:rsidTr="00A447E9">
        <w:tblPrEx>
          <w:tblLook w:val="04A0" w:firstRow="1" w:lastRow="0" w:firstColumn="1" w:lastColumn="0" w:noHBand="0" w:noVBand="1"/>
        </w:tblPrEx>
        <w:trPr>
          <w:gridAfter w:val="1"/>
          <w:wAfter w:w="12" w:type="dxa"/>
          <w:trHeight w:val="70"/>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Patients discharged on multiple antipsychotic medications (HBIPS 4)</w:t>
            </w:r>
          </w:p>
        </w:tc>
        <w:tc>
          <w:tcPr>
            <w:tcW w:w="1219" w:type="dxa"/>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HBIPS</w:t>
            </w:r>
          </w:p>
        </w:tc>
        <w:tc>
          <w:tcPr>
            <w:tcW w:w="886"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552</w:t>
            </w:r>
          </w:p>
        </w:tc>
      </w:tr>
      <w:tr w:rsidR="004B76E8" w:rsidRPr="00D81026" w:rsidTr="005913E0">
        <w:tblPrEx>
          <w:tblLook w:val="04A0" w:firstRow="1" w:lastRow="0" w:firstColumn="1" w:lastColumn="0" w:noHBand="0" w:noVBand="1"/>
        </w:tblPrEx>
        <w:trPr>
          <w:trHeight w:val="146"/>
        </w:trPr>
        <w:tc>
          <w:tcPr>
            <w:tcW w:w="9870" w:type="dxa"/>
            <w:gridSpan w:val="6"/>
            <w:shd w:val="clear" w:color="auto" w:fill="D3DFEE"/>
          </w:tcPr>
          <w:p w:rsidR="004B76E8" w:rsidRPr="004B76E8" w:rsidRDefault="004B76E8" w:rsidP="00A447E9">
            <w:pPr>
              <w:jc w:val="center"/>
              <w:rPr>
                <w:rFonts w:ascii="Times New Roman" w:eastAsia="Times New Roman" w:hAnsi="Times New Roman"/>
                <w:b/>
                <w:sz w:val="20"/>
                <w:szCs w:val="20"/>
              </w:rPr>
            </w:pPr>
            <w:r w:rsidRPr="004B76E8">
              <w:rPr>
                <w:rFonts w:ascii="Times New Roman" w:eastAsia="Times New Roman" w:hAnsi="Times New Roman"/>
                <w:b/>
                <w:bCs/>
                <w:sz w:val="20"/>
                <w:szCs w:val="20"/>
              </w:rPr>
              <w:t>Home Health Agencies</w:t>
            </w:r>
          </w:p>
        </w:tc>
      </w:tr>
      <w:tr w:rsidR="00A447E9" w:rsidRPr="00D81026" w:rsidTr="00A447E9">
        <w:tblPrEx>
          <w:tblLook w:val="04A0" w:firstRow="1" w:lastRow="0" w:firstColumn="1" w:lastColumn="0" w:noHBand="0" w:noVBand="1"/>
        </w:tblPrEx>
        <w:trPr>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Acute care hospitalization (risk-adjusted)</w:t>
            </w:r>
          </w:p>
        </w:tc>
        <w:tc>
          <w:tcPr>
            <w:tcW w:w="1230"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OASIS</w:t>
            </w:r>
          </w:p>
        </w:tc>
        <w:tc>
          <w:tcPr>
            <w:tcW w:w="887"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171</w:t>
            </w:r>
          </w:p>
        </w:tc>
      </w:tr>
      <w:tr w:rsidR="00C35BEA" w:rsidRPr="00D81026" w:rsidTr="00A447E9">
        <w:tblPrEx>
          <w:tblLook w:val="04A0" w:firstRow="1" w:lastRow="0" w:firstColumn="1" w:lastColumn="0" w:noHBand="0" w:noVBand="1"/>
        </w:tblPrEx>
        <w:trPr>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Emergency Department Care without Hospitalization (risk-adjusted)</w:t>
            </w:r>
          </w:p>
        </w:tc>
        <w:tc>
          <w:tcPr>
            <w:tcW w:w="1230"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OASIS</w:t>
            </w:r>
          </w:p>
        </w:tc>
        <w:tc>
          <w:tcPr>
            <w:tcW w:w="887"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173</w:t>
            </w:r>
          </w:p>
        </w:tc>
      </w:tr>
      <w:tr w:rsidR="00A447E9" w:rsidRPr="00D81026" w:rsidTr="00A447E9">
        <w:tblPrEx>
          <w:tblLook w:val="04A0" w:firstRow="1" w:lastRow="0" w:firstColumn="1" w:lastColumn="0" w:noHBand="0" w:noVBand="1"/>
        </w:tblPrEx>
        <w:trPr>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lastRenderedPageBreak/>
              <w:t>Timely Initiation of Care</w:t>
            </w:r>
          </w:p>
        </w:tc>
        <w:tc>
          <w:tcPr>
            <w:tcW w:w="1230"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OASIS</w:t>
            </w:r>
          </w:p>
        </w:tc>
        <w:tc>
          <w:tcPr>
            <w:tcW w:w="887"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526</w:t>
            </w:r>
          </w:p>
        </w:tc>
      </w:tr>
      <w:tr w:rsidR="004B76E8" w:rsidRPr="00D81026" w:rsidTr="004B76E8">
        <w:tblPrEx>
          <w:tblLook w:val="04A0" w:firstRow="1" w:lastRow="0" w:firstColumn="1" w:lastColumn="0" w:noHBand="0" w:noVBand="1"/>
        </w:tblPrEx>
        <w:trPr>
          <w:trHeight w:val="323"/>
        </w:trPr>
        <w:tc>
          <w:tcPr>
            <w:tcW w:w="9870" w:type="dxa"/>
            <w:gridSpan w:val="6"/>
            <w:shd w:val="clear" w:color="auto" w:fill="auto"/>
          </w:tcPr>
          <w:p w:rsidR="004B76E8" w:rsidRPr="004B76E8" w:rsidRDefault="004B76E8" w:rsidP="00A447E9">
            <w:pPr>
              <w:jc w:val="center"/>
              <w:rPr>
                <w:rFonts w:ascii="Times New Roman" w:eastAsia="Times New Roman" w:hAnsi="Times New Roman"/>
                <w:b/>
                <w:sz w:val="20"/>
                <w:szCs w:val="20"/>
              </w:rPr>
            </w:pPr>
            <w:r w:rsidRPr="004B76E8">
              <w:rPr>
                <w:rFonts w:ascii="Times New Roman" w:eastAsia="Times New Roman" w:hAnsi="Times New Roman"/>
                <w:b/>
                <w:bCs/>
                <w:sz w:val="20"/>
                <w:szCs w:val="20"/>
              </w:rPr>
              <w:t>Skilled Nursing Facilities</w:t>
            </w:r>
          </w:p>
        </w:tc>
      </w:tr>
      <w:tr w:rsidR="00C35BEA" w:rsidRPr="00D81026" w:rsidTr="00A447E9">
        <w:tblPrEx>
          <w:tblLook w:val="04A0" w:firstRow="1" w:lastRow="0" w:firstColumn="1" w:lastColumn="0" w:noHBand="0" w:noVBand="1"/>
        </w:tblPrEx>
        <w:trPr>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Percent of Residents with Pressure Ulcers That Are New or Worsened (Short-Stay)</w:t>
            </w:r>
          </w:p>
        </w:tc>
        <w:tc>
          <w:tcPr>
            <w:tcW w:w="1230"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c>
          <w:tcPr>
            <w:tcW w:w="887"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678</w:t>
            </w:r>
          </w:p>
        </w:tc>
      </w:tr>
      <w:tr w:rsidR="00A447E9" w:rsidRPr="00D81026" w:rsidTr="00A447E9">
        <w:tblPrEx>
          <w:tblLook w:val="04A0" w:firstRow="1" w:lastRow="0" w:firstColumn="1" w:lastColumn="0" w:noHBand="0" w:noVBand="1"/>
        </w:tblPrEx>
        <w:trPr>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Percent of High Risk Residents with Pressure Ulcers (Long Stay)</w:t>
            </w:r>
          </w:p>
        </w:tc>
        <w:tc>
          <w:tcPr>
            <w:tcW w:w="1230" w:type="dxa"/>
            <w:gridSpan w:val="2"/>
            <w:shd w:val="clear" w:color="auto" w:fill="D3DFEE"/>
          </w:tcPr>
          <w:p w:rsidR="00A447E9" w:rsidRPr="00A447E9" w:rsidRDefault="00A447E9" w:rsidP="00A447E9">
            <w:pPr>
              <w:jc w:val="center"/>
              <w:rPr>
                <w:rFonts w:ascii="Times New Roman" w:eastAsia="Times New Roman" w:hAnsi="Times New Roman"/>
                <w:sz w:val="20"/>
                <w:szCs w:val="20"/>
              </w:rPr>
            </w:pPr>
          </w:p>
        </w:tc>
        <w:tc>
          <w:tcPr>
            <w:tcW w:w="887"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679</w:t>
            </w:r>
          </w:p>
        </w:tc>
      </w:tr>
      <w:tr w:rsidR="00C35BEA" w:rsidRPr="00D81026" w:rsidTr="00A447E9">
        <w:tblPrEx>
          <w:tblLook w:val="04A0" w:firstRow="1" w:lastRow="0" w:firstColumn="1" w:lastColumn="0" w:noHBand="0" w:noVBand="1"/>
        </w:tblPrEx>
        <w:trPr>
          <w:trHeight w:val="146"/>
        </w:trPr>
        <w:tc>
          <w:tcPr>
            <w:tcW w:w="7753" w:type="dxa"/>
            <w:gridSpan w:val="2"/>
            <w:shd w:val="clear" w:color="auto" w:fill="auto"/>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Percent of Residents Who Self-Report Moderate to Severe Pain (Short-Stay)</w:t>
            </w:r>
          </w:p>
        </w:tc>
        <w:tc>
          <w:tcPr>
            <w:tcW w:w="1230" w:type="dxa"/>
            <w:gridSpan w:val="2"/>
            <w:shd w:val="clear" w:color="auto" w:fill="auto"/>
          </w:tcPr>
          <w:p w:rsidR="00A447E9" w:rsidRPr="00A447E9" w:rsidRDefault="00A447E9" w:rsidP="00A447E9">
            <w:pPr>
              <w:jc w:val="center"/>
              <w:rPr>
                <w:rFonts w:ascii="Times New Roman" w:eastAsia="Times New Roman" w:hAnsi="Times New Roman"/>
                <w:sz w:val="20"/>
                <w:szCs w:val="20"/>
              </w:rPr>
            </w:pPr>
          </w:p>
        </w:tc>
        <w:tc>
          <w:tcPr>
            <w:tcW w:w="887" w:type="dxa"/>
            <w:gridSpan w:val="2"/>
            <w:shd w:val="clear" w:color="auto" w:fill="auto"/>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676</w:t>
            </w:r>
          </w:p>
        </w:tc>
      </w:tr>
      <w:tr w:rsidR="00C35BEA" w:rsidRPr="00D81026" w:rsidTr="00A447E9">
        <w:tblPrEx>
          <w:tblLook w:val="04A0" w:firstRow="1" w:lastRow="0" w:firstColumn="1" w:lastColumn="0" w:noHBand="0" w:noVBand="1"/>
        </w:tblPrEx>
        <w:trPr>
          <w:trHeight w:val="146"/>
        </w:trPr>
        <w:tc>
          <w:tcPr>
            <w:tcW w:w="7753" w:type="dxa"/>
            <w:gridSpan w:val="2"/>
            <w:shd w:val="clear" w:color="auto" w:fill="D3DFEE"/>
          </w:tcPr>
          <w:p w:rsidR="00A447E9" w:rsidRPr="00A447E9" w:rsidRDefault="00A447E9" w:rsidP="008A301C">
            <w:pPr>
              <w:rPr>
                <w:rFonts w:ascii="Times New Roman" w:eastAsia="Times New Roman" w:hAnsi="Times New Roman"/>
                <w:b/>
                <w:bCs/>
                <w:sz w:val="20"/>
                <w:szCs w:val="20"/>
              </w:rPr>
            </w:pPr>
            <w:r w:rsidRPr="00A447E9">
              <w:rPr>
                <w:rFonts w:ascii="Times New Roman" w:eastAsia="Times New Roman" w:hAnsi="Times New Roman"/>
                <w:bCs/>
                <w:sz w:val="20"/>
                <w:szCs w:val="20"/>
              </w:rPr>
              <w:t>Percent of Residents Who Self-Report Moderate to Severe Pain (Long-Stay)</w:t>
            </w:r>
          </w:p>
        </w:tc>
        <w:tc>
          <w:tcPr>
            <w:tcW w:w="1230" w:type="dxa"/>
            <w:gridSpan w:val="2"/>
            <w:shd w:val="clear" w:color="auto" w:fill="D3DFEE"/>
          </w:tcPr>
          <w:p w:rsidR="00A447E9" w:rsidRPr="00A447E9" w:rsidRDefault="00A447E9" w:rsidP="00A447E9">
            <w:pPr>
              <w:jc w:val="center"/>
              <w:rPr>
                <w:rFonts w:ascii="Times New Roman" w:eastAsia="Times New Roman" w:hAnsi="Times New Roman"/>
                <w:sz w:val="20"/>
                <w:szCs w:val="20"/>
              </w:rPr>
            </w:pPr>
          </w:p>
        </w:tc>
        <w:tc>
          <w:tcPr>
            <w:tcW w:w="887" w:type="dxa"/>
            <w:gridSpan w:val="2"/>
            <w:shd w:val="clear" w:color="auto" w:fill="D3DFEE"/>
          </w:tcPr>
          <w:p w:rsidR="00A447E9" w:rsidRPr="00A447E9" w:rsidRDefault="00A447E9" w:rsidP="00A447E9">
            <w:pPr>
              <w:jc w:val="center"/>
              <w:rPr>
                <w:rFonts w:ascii="Times New Roman" w:eastAsia="Times New Roman" w:hAnsi="Times New Roman"/>
                <w:sz w:val="20"/>
                <w:szCs w:val="20"/>
              </w:rPr>
            </w:pPr>
            <w:r w:rsidRPr="00A447E9">
              <w:rPr>
                <w:rFonts w:ascii="Times New Roman" w:eastAsia="Times New Roman" w:hAnsi="Times New Roman"/>
                <w:sz w:val="20"/>
                <w:szCs w:val="20"/>
              </w:rPr>
              <w:t>677</w:t>
            </w:r>
          </w:p>
        </w:tc>
      </w:tr>
    </w:tbl>
    <w:p w:rsidR="00A447E9" w:rsidRPr="00DB37C2" w:rsidRDefault="00A447E9" w:rsidP="00A447E9">
      <w:pPr>
        <w:rPr>
          <w:rFonts w:ascii="Times New Roman" w:hAnsi="Times New Roman"/>
        </w:rPr>
      </w:pPr>
    </w:p>
    <w:p w:rsidR="00161749" w:rsidRPr="00DB37C2" w:rsidRDefault="007338C0" w:rsidP="00A447E9">
      <w:pPr>
        <w:rPr>
          <w:rFonts w:ascii="Times New Roman" w:hAnsi="Times New Roman"/>
        </w:rPr>
      </w:pPr>
      <w:r w:rsidRPr="00DB37C2">
        <w:rPr>
          <w:rFonts w:ascii="Times New Roman" w:hAnsi="Times New Roman"/>
        </w:rPr>
        <w:t xml:space="preserve">* </w:t>
      </w:r>
      <w:r w:rsidR="00161749" w:rsidRPr="00DB37C2">
        <w:rPr>
          <w:rFonts w:ascii="Times New Roman" w:hAnsi="Times New Roman"/>
        </w:rPr>
        <w:t>National Quality Forum</w:t>
      </w:r>
      <w:r w:rsidR="003F116E" w:rsidRPr="00DB37C2">
        <w:rPr>
          <w:rFonts w:ascii="Times New Roman" w:hAnsi="Times New Roman"/>
        </w:rPr>
        <w:t xml:space="preserve"> </w:t>
      </w:r>
      <w:bookmarkStart w:id="0" w:name="_GoBack"/>
      <w:bookmarkEnd w:id="0"/>
    </w:p>
    <w:p w:rsidR="009723E3" w:rsidRDefault="009723E3"/>
    <w:sectPr w:rsidR="009723E3" w:rsidSect="00DA540F">
      <w:headerReference w:type="default" r:id="rId8"/>
      <w:footerReference w:type="default" r:id="rId9"/>
      <w:headerReference w:type="first" r:id="rId10"/>
      <w:footerReference w:type="first" r:id="rId11"/>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DBA" w:rsidRDefault="004A4DBA">
      <w:r>
        <w:separator/>
      </w:r>
    </w:p>
  </w:endnote>
  <w:endnote w:type="continuationSeparator" w:id="0">
    <w:p w:rsidR="004A4DBA" w:rsidRDefault="004A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E9" w:rsidRDefault="00A447E9">
    <w:pPr>
      <w:pStyle w:val="Footer"/>
    </w:pPr>
    <w:r>
      <w:fldChar w:fldCharType="begin"/>
    </w:r>
    <w:r>
      <w:instrText xml:space="preserve"> PAGE   \* MERGEFORMAT </w:instrText>
    </w:r>
    <w:r>
      <w:fldChar w:fldCharType="separate"/>
    </w:r>
    <w:r w:rsidR="00DB37C2">
      <w:rPr>
        <w:noProof/>
      </w:rPr>
      <w:t>2</w:t>
    </w:r>
    <w:r>
      <w:rPr>
        <w:noProof/>
      </w:rPr>
      <w:fldChar w:fldCharType="end"/>
    </w:r>
  </w:p>
  <w:p w:rsidR="00A447E9" w:rsidRDefault="00A44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E9" w:rsidRDefault="00DB37C2" w:rsidP="00C35BEA">
    <w:pPr>
      <w:pStyle w:val="Footer"/>
      <w:tabs>
        <w:tab w:val="clear" w:pos="4320"/>
        <w:tab w:val="clear" w:pos="8640"/>
        <w:tab w:val="left" w:pos="6705"/>
      </w:tabs>
    </w:pPr>
    <w:r>
      <w:rPr>
        <w:noProof/>
      </w:rPr>
      <mc:AlternateContent>
        <mc:Choice Requires="wps">
          <w:drawing>
            <wp:anchor distT="0" distB="0" distL="114300" distR="114300" simplePos="0" relativeHeight="251656704" behindDoc="0" locked="0" layoutInCell="1" allowOverlap="1">
              <wp:simplePos x="0" y="0"/>
              <wp:positionH relativeFrom="column">
                <wp:posOffset>4313555</wp:posOffset>
              </wp:positionH>
              <wp:positionV relativeFrom="paragraph">
                <wp:posOffset>-205740</wp:posOffset>
              </wp:positionV>
              <wp:extent cx="2377440" cy="1130300"/>
              <wp:effectExtent l="0" t="0" r="381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30300"/>
                      </a:xfrm>
                      <a:prstGeom prst="rect">
                        <a:avLst/>
                      </a:prstGeom>
                      <a:solidFill>
                        <a:srgbClr val="FFFFFF"/>
                      </a:solidFill>
                      <a:ln w="9525">
                        <a:noFill/>
                        <a:miter lim="800000"/>
                        <a:headEnd/>
                        <a:tailEnd/>
                      </a:ln>
                    </wps:spPr>
                    <wps:txbx>
                      <w:txbxContent>
                        <w:p w:rsidR="00C35BEA" w:rsidRPr="00282694" w:rsidRDefault="00C35BEA" w:rsidP="00C35BEA">
                          <w:pPr>
                            <w:pStyle w:val="Footer"/>
                            <w:spacing w:after="0" w:line="240" w:lineRule="auto"/>
                            <w:jc w:val="right"/>
                            <w:rPr>
                              <w:rFonts w:ascii="Arial" w:hAnsi="Arial"/>
                              <w:color w:val="808080"/>
                              <w:sz w:val="14"/>
                              <w:szCs w:val="14"/>
                            </w:rPr>
                          </w:pPr>
                          <w:r w:rsidRPr="00282694">
                            <w:rPr>
                              <w:rFonts w:ascii="Arial" w:hAnsi="Arial"/>
                              <w:color w:val="808080"/>
                              <w:sz w:val="14"/>
                              <w:szCs w:val="14"/>
                            </w:rPr>
                            <w:t>TWO BOYLSTON STREET</w:t>
                          </w:r>
                          <w:r w:rsidRPr="00282694">
                            <w:rPr>
                              <w:color w:val="808080"/>
                              <w:sz w:val="14"/>
                              <w:szCs w:val="14"/>
                            </w:rPr>
                            <w:br/>
                          </w:r>
                          <w:r w:rsidRPr="00282694">
                            <w:rPr>
                              <w:rFonts w:ascii="Arial" w:hAnsi="Arial"/>
                              <w:color w:val="808080"/>
                              <w:sz w:val="14"/>
                              <w:szCs w:val="14"/>
                            </w:rPr>
                            <w:t>BOSTON, MA 02116</w:t>
                          </w:r>
                        </w:p>
                        <w:p w:rsidR="00C35BEA" w:rsidRDefault="00C35BEA" w:rsidP="00C35BEA">
                          <w:pPr>
                            <w:pStyle w:val="Footer"/>
                            <w:spacing w:after="0" w:line="240" w:lineRule="auto"/>
                            <w:jc w:val="right"/>
                            <w:rPr>
                              <w:rFonts w:ascii="Arial Bold" w:hAnsi="Arial Bold"/>
                              <w:color w:val="00436D"/>
                              <w:sz w:val="14"/>
                              <w:szCs w:val="14"/>
                            </w:rPr>
                          </w:pPr>
                        </w:p>
                        <w:p w:rsidR="00C35BEA" w:rsidRPr="00282694" w:rsidRDefault="00C35BEA" w:rsidP="00C35BEA">
                          <w:pPr>
                            <w:pStyle w:val="Footer"/>
                            <w:spacing w:after="0" w:line="240" w:lineRule="auto"/>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282694">
                            <w:rPr>
                              <w:rFonts w:ascii="Arial" w:hAnsi="Arial"/>
                              <w:color w:val="808080"/>
                              <w:sz w:val="14"/>
                              <w:szCs w:val="14"/>
                            </w:rPr>
                            <w:t>617.988.3100</w:t>
                          </w:r>
                        </w:p>
                        <w:p w:rsidR="00C35BEA" w:rsidRPr="00282694" w:rsidRDefault="00C35BEA" w:rsidP="00C35BEA">
                          <w:pPr>
                            <w:pStyle w:val="Footer"/>
                            <w:spacing w:after="0" w:line="240" w:lineRule="auto"/>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282694">
                            <w:rPr>
                              <w:rFonts w:ascii="Arial" w:hAnsi="Arial"/>
                              <w:color w:val="808080"/>
                              <w:sz w:val="14"/>
                              <w:szCs w:val="14"/>
                            </w:rPr>
                            <w:t>617.727.7662</w:t>
                          </w:r>
                        </w:p>
                        <w:p w:rsidR="00C35BEA" w:rsidRDefault="00C35BEA" w:rsidP="00C35BEA">
                          <w:pPr>
                            <w:pStyle w:val="Footer"/>
                            <w:spacing w:after="0" w:line="240" w:lineRule="auto"/>
                            <w:jc w:val="right"/>
                            <w:rPr>
                              <w:rFonts w:ascii="Arial Bold" w:hAnsi="Arial Bold"/>
                              <w:color w:val="00436E"/>
                              <w:sz w:val="14"/>
                              <w:szCs w:val="14"/>
                            </w:rPr>
                          </w:pPr>
                        </w:p>
                        <w:p w:rsidR="00C35BEA" w:rsidRPr="001D5DE2" w:rsidRDefault="00C35BEA" w:rsidP="00C35BEA">
                          <w:pPr>
                            <w:pStyle w:val="Footer"/>
                            <w:spacing w:after="0" w:line="240" w:lineRule="auto"/>
                            <w:jc w:val="right"/>
                            <w:rPr>
                              <w:rFonts w:ascii="Arial Bold" w:hAnsi="Arial Bold"/>
                              <w:color w:val="00436E"/>
                              <w:sz w:val="14"/>
                              <w:szCs w:val="14"/>
                            </w:rPr>
                          </w:pPr>
                          <w:r w:rsidRPr="001D5DE2">
                            <w:rPr>
                              <w:rFonts w:ascii="Arial Bold" w:hAnsi="Arial Bold"/>
                              <w:color w:val="00436E"/>
                              <w:sz w:val="14"/>
                              <w:szCs w:val="14"/>
                            </w:rPr>
                            <w:t>www.mass.gov/chia</w:t>
                          </w:r>
                        </w:p>
                        <w:p w:rsidR="00C35BEA" w:rsidRDefault="00C35BEA" w:rsidP="00C35BE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65pt;margin-top:-16.2pt;width:187.2pt;height:89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" stroked="f">
              <v:textbox style="mso-fit-shape-to-text:t">
                <w:txbxContent>
                  <w:p w:rsidR="00C35BEA" w:rsidRPr="00282694" w:rsidRDefault="00C35BEA" w:rsidP="00C35BEA">
                    <w:pPr>
                      <w:pStyle w:val="Footer"/>
                      <w:spacing w:after="0" w:line="240" w:lineRule="auto"/>
                      <w:jc w:val="right"/>
                      <w:rPr>
                        <w:rFonts w:ascii="Arial" w:hAnsi="Arial"/>
                        <w:color w:val="808080"/>
                        <w:sz w:val="14"/>
                        <w:szCs w:val="14"/>
                      </w:rPr>
                    </w:pPr>
                    <w:r w:rsidRPr="00282694">
                      <w:rPr>
                        <w:rFonts w:ascii="Arial" w:hAnsi="Arial"/>
                        <w:color w:val="808080"/>
                        <w:sz w:val="14"/>
                        <w:szCs w:val="14"/>
                      </w:rPr>
                      <w:t>TWO BOYLSTON STREET</w:t>
                    </w:r>
                    <w:r w:rsidRPr="00282694">
                      <w:rPr>
                        <w:color w:val="808080"/>
                        <w:sz w:val="14"/>
                        <w:szCs w:val="14"/>
                      </w:rPr>
                      <w:br/>
                    </w:r>
                    <w:r w:rsidRPr="00282694">
                      <w:rPr>
                        <w:rFonts w:ascii="Arial" w:hAnsi="Arial"/>
                        <w:color w:val="808080"/>
                        <w:sz w:val="14"/>
                        <w:szCs w:val="14"/>
                      </w:rPr>
                      <w:t>BOSTON, MA 02116</w:t>
                    </w:r>
                  </w:p>
                  <w:p w:rsidR="00C35BEA" w:rsidRDefault="00C35BEA" w:rsidP="00C35BEA">
                    <w:pPr>
                      <w:pStyle w:val="Footer"/>
                      <w:spacing w:after="0" w:line="240" w:lineRule="auto"/>
                      <w:jc w:val="right"/>
                      <w:rPr>
                        <w:rFonts w:ascii="Arial Bold" w:hAnsi="Arial Bold"/>
                        <w:color w:val="00436D"/>
                        <w:sz w:val="14"/>
                        <w:szCs w:val="14"/>
                      </w:rPr>
                    </w:pPr>
                  </w:p>
                  <w:p w:rsidR="00C35BEA" w:rsidRPr="00282694" w:rsidRDefault="00C35BEA" w:rsidP="00C35BEA">
                    <w:pPr>
                      <w:pStyle w:val="Footer"/>
                      <w:spacing w:after="0" w:line="240" w:lineRule="auto"/>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282694">
                      <w:rPr>
                        <w:rFonts w:ascii="Arial" w:hAnsi="Arial"/>
                        <w:color w:val="808080"/>
                        <w:sz w:val="14"/>
                        <w:szCs w:val="14"/>
                      </w:rPr>
                      <w:t>617.988.3100</w:t>
                    </w:r>
                  </w:p>
                  <w:p w:rsidR="00C35BEA" w:rsidRPr="00282694" w:rsidRDefault="00C35BEA" w:rsidP="00C35BEA">
                    <w:pPr>
                      <w:pStyle w:val="Footer"/>
                      <w:spacing w:after="0" w:line="240" w:lineRule="auto"/>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282694">
                      <w:rPr>
                        <w:rFonts w:ascii="Arial" w:hAnsi="Arial"/>
                        <w:color w:val="808080"/>
                        <w:sz w:val="14"/>
                        <w:szCs w:val="14"/>
                      </w:rPr>
                      <w:t>617.727.7662</w:t>
                    </w:r>
                  </w:p>
                  <w:p w:rsidR="00C35BEA" w:rsidRDefault="00C35BEA" w:rsidP="00C35BEA">
                    <w:pPr>
                      <w:pStyle w:val="Footer"/>
                      <w:spacing w:after="0" w:line="240" w:lineRule="auto"/>
                      <w:jc w:val="right"/>
                      <w:rPr>
                        <w:rFonts w:ascii="Arial Bold" w:hAnsi="Arial Bold"/>
                        <w:color w:val="00436E"/>
                        <w:sz w:val="14"/>
                        <w:szCs w:val="14"/>
                      </w:rPr>
                    </w:pPr>
                  </w:p>
                  <w:p w:rsidR="00C35BEA" w:rsidRPr="001D5DE2" w:rsidRDefault="00C35BEA" w:rsidP="00C35BEA">
                    <w:pPr>
                      <w:pStyle w:val="Footer"/>
                      <w:spacing w:after="0" w:line="240" w:lineRule="auto"/>
                      <w:jc w:val="right"/>
                      <w:rPr>
                        <w:rFonts w:ascii="Arial Bold" w:hAnsi="Arial Bold"/>
                        <w:color w:val="00436E"/>
                        <w:sz w:val="14"/>
                        <w:szCs w:val="14"/>
                      </w:rPr>
                    </w:pPr>
                    <w:r w:rsidRPr="001D5DE2">
                      <w:rPr>
                        <w:rFonts w:ascii="Arial Bold" w:hAnsi="Arial Bold"/>
                        <w:color w:val="00436E"/>
                        <w:sz w:val="14"/>
                        <w:szCs w:val="14"/>
                      </w:rPr>
                      <w:t>www.mass.gov/chia</w:t>
                    </w:r>
                  </w:p>
                  <w:p w:rsidR="00C35BEA" w:rsidRDefault="00C35BEA" w:rsidP="00C35BEA"/>
                </w:txbxContent>
              </v:textbox>
            </v:shape>
          </w:pict>
        </mc:Fallback>
      </mc:AlternateContent>
    </w:r>
    <w:r w:rsidR="00A447E9">
      <w:fldChar w:fldCharType="begin"/>
    </w:r>
    <w:r w:rsidR="00A447E9">
      <w:instrText xml:space="preserve"> PAGE   \* MERGEFORMAT </w:instrText>
    </w:r>
    <w:r w:rsidR="00A447E9">
      <w:fldChar w:fldCharType="separate"/>
    </w:r>
    <w:r>
      <w:rPr>
        <w:noProof/>
      </w:rPr>
      <w:t>1</w:t>
    </w:r>
    <w:r w:rsidR="00A447E9">
      <w:rPr>
        <w:noProof/>
      </w:rPr>
      <w:fldChar w:fldCharType="end"/>
    </w:r>
    <w:r w:rsidR="00C35BEA">
      <w:rPr>
        <w:noProof/>
      </w:rPr>
      <w:tab/>
    </w:r>
  </w:p>
  <w:p w:rsidR="00A447E9" w:rsidRDefault="00A44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DBA" w:rsidRDefault="004A4DBA">
      <w:r>
        <w:separator/>
      </w:r>
    </w:p>
  </w:footnote>
  <w:footnote w:type="continuationSeparator" w:id="0">
    <w:p w:rsidR="004A4DBA" w:rsidRDefault="004A4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E9" w:rsidRDefault="00DB37C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DB37C2">
    <w:pPr>
      <w:pStyle w:val="Header"/>
    </w:pPr>
    <w:r>
      <w:rPr>
        <w:noProof/>
      </w:rPr>
      <w:drawing>
        <wp:anchor distT="0" distB="0" distL="114300" distR="114300" simplePos="0" relativeHeight="251657728" behindDoc="1" locked="1" layoutInCell="1" allowOverlap="1">
          <wp:simplePos x="0" y="0"/>
          <wp:positionH relativeFrom="margin">
            <wp:posOffset>5554980</wp:posOffset>
          </wp:positionH>
          <wp:positionV relativeFrom="page">
            <wp:posOffset>345440</wp:posOffset>
          </wp:positionV>
          <wp:extent cx="1054100" cy="1524000"/>
          <wp:effectExtent l="0" t="0" r="0" b="0"/>
          <wp:wrapNone/>
          <wp:docPr id="2"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E9"/>
    <w:rsid w:val="000675E6"/>
    <w:rsid w:val="000B5CB8"/>
    <w:rsid w:val="001128D6"/>
    <w:rsid w:val="00161749"/>
    <w:rsid w:val="001D5DE2"/>
    <w:rsid w:val="002122F7"/>
    <w:rsid w:val="003F116E"/>
    <w:rsid w:val="004306E1"/>
    <w:rsid w:val="004A4DBA"/>
    <w:rsid w:val="004B76E8"/>
    <w:rsid w:val="00524B06"/>
    <w:rsid w:val="005913E0"/>
    <w:rsid w:val="005F479F"/>
    <w:rsid w:val="006213C5"/>
    <w:rsid w:val="006D0412"/>
    <w:rsid w:val="00720073"/>
    <w:rsid w:val="007338C0"/>
    <w:rsid w:val="007D7627"/>
    <w:rsid w:val="008A301C"/>
    <w:rsid w:val="008A6188"/>
    <w:rsid w:val="008F7FC5"/>
    <w:rsid w:val="00954B72"/>
    <w:rsid w:val="009723E3"/>
    <w:rsid w:val="009C12CE"/>
    <w:rsid w:val="00A447E9"/>
    <w:rsid w:val="00AC425E"/>
    <w:rsid w:val="00B059DE"/>
    <w:rsid w:val="00B251CF"/>
    <w:rsid w:val="00C35BEA"/>
    <w:rsid w:val="00C57938"/>
    <w:rsid w:val="00CE5960"/>
    <w:rsid w:val="00DA540F"/>
    <w:rsid w:val="00DB37C2"/>
    <w:rsid w:val="00DD3C26"/>
    <w:rsid w:val="00F86A64"/>
    <w:rsid w:val="00FC528D"/>
    <w:rsid w:val="00FE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7E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rsid w:val="007A5533"/>
    <w:pPr>
      <w:tabs>
        <w:tab w:val="center" w:pos="4320"/>
        <w:tab w:val="right" w:pos="8640"/>
      </w:tabs>
    </w:pPr>
  </w:style>
  <w:style w:type="character" w:styleId="CommentReference">
    <w:name w:val="annotation reference"/>
    <w:uiPriority w:val="99"/>
    <w:semiHidden/>
    <w:unhideWhenUsed/>
    <w:rsid w:val="00A447E9"/>
    <w:rPr>
      <w:sz w:val="16"/>
      <w:szCs w:val="16"/>
    </w:rPr>
  </w:style>
  <w:style w:type="paragraph" w:styleId="CommentText">
    <w:name w:val="annotation text"/>
    <w:basedOn w:val="Normal"/>
    <w:link w:val="CommentTextChar"/>
    <w:uiPriority w:val="99"/>
    <w:semiHidden/>
    <w:unhideWhenUsed/>
    <w:rsid w:val="00A447E9"/>
    <w:rPr>
      <w:sz w:val="20"/>
      <w:szCs w:val="20"/>
    </w:rPr>
  </w:style>
  <w:style w:type="character" w:customStyle="1" w:styleId="CommentTextChar">
    <w:name w:val="Comment Text Char"/>
    <w:link w:val="CommentText"/>
    <w:uiPriority w:val="99"/>
    <w:semiHidden/>
    <w:rsid w:val="00A447E9"/>
    <w:rPr>
      <w:rFonts w:ascii="Calibri" w:eastAsia="Calibri" w:hAnsi="Calibri"/>
    </w:rPr>
  </w:style>
  <w:style w:type="table" w:customStyle="1" w:styleId="LightShading-Accent11">
    <w:name w:val="Light Shading - Accent 11"/>
    <w:basedOn w:val="TableNormal"/>
    <w:uiPriority w:val="60"/>
    <w:rsid w:val="00A447E9"/>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rsid w:val="00A447E9"/>
    <w:rPr>
      <w:sz w:val="24"/>
      <w:szCs w:val="24"/>
    </w:rPr>
  </w:style>
  <w:style w:type="paragraph" w:styleId="CommentSubject">
    <w:name w:val="annotation subject"/>
    <w:basedOn w:val="CommentText"/>
    <w:next w:val="CommentText"/>
    <w:link w:val="CommentSubjectChar"/>
    <w:uiPriority w:val="99"/>
    <w:semiHidden/>
    <w:unhideWhenUsed/>
    <w:rsid w:val="007338C0"/>
    <w:rPr>
      <w:b/>
      <w:bCs/>
    </w:rPr>
  </w:style>
  <w:style w:type="character" w:customStyle="1" w:styleId="CommentSubjectChar">
    <w:name w:val="Comment Subject Char"/>
    <w:link w:val="CommentSubject"/>
    <w:uiPriority w:val="99"/>
    <w:semiHidden/>
    <w:rsid w:val="007338C0"/>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7E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rsid w:val="007A5533"/>
    <w:pPr>
      <w:tabs>
        <w:tab w:val="center" w:pos="4320"/>
        <w:tab w:val="right" w:pos="8640"/>
      </w:tabs>
    </w:pPr>
  </w:style>
  <w:style w:type="character" w:styleId="CommentReference">
    <w:name w:val="annotation reference"/>
    <w:uiPriority w:val="99"/>
    <w:semiHidden/>
    <w:unhideWhenUsed/>
    <w:rsid w:val="00A447E9"/>
    <w:rPr>
      <w:sz w:val="16"/>
      <w:szCs w:val="16"/>
    </w:rPr>
  </w:style>
  <w:style w:type="paragraph" w:styleId="CommentText">
    <w:name w:val="annotation text"/>
    <w:basedOn w:val="Normal"/>
    <w:link w:val="CommentTextChar"/>
    <w:uiPriority w:val="99"/>
    <w:semiHidden/>
    <w:unhideWhenUsed/>
    <w:rsid w:val="00A447E9"/>
    <w:rPr>
      <w:sz w:val="20"/>
      <w:szCs w:val="20"/>
    </w:rPr>
  </w:style>
  <w:style w:type="character" w:customStyle="1" w:styleId="CommentTextChar">
    <w:name w:val="Comment Text Char"/>
    <w:link w:val="CommentText"/>
    <w:uiPriority w:val="99"/>
    <w:semiHidden/>
    <w:rsid w:val="00A447E9"/>
    <w:rPr>
      <w:rFonts w:ascii="Calibri" w:eastAsia="Calibri" w:hAnsi="Calibri"/>
    </w:rPr>
  </w:style>
  <w:style w:type="table" w:customStyle="1" w:styleId="LightShading-Accent11">
    <w:name w:val="Light Shading - Accent 11"/>
    <w:basedOn w:val="TableNormal"/>
    <w:uiPriority w:val="60"/>
    <w:rsid w:val="00A447E9"/>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rsid w:val="00A447E9"/>
    <w:rPr>
      <w:sz w:val="24"/>
      <w:szCs w:val="24"/>
    </w:rPr>
  </w:style>
  <w:style w:type="paragraph" w:styleId="CommentSubject">
    <w:name w:val="annotation subject"/>
    <w:basedOn w:val="CommentText"/>
    <w:next w:val="CommentText"/>
    <w:link w:val="CommentSubjectChar"/>
    <w:uiPriority w:val="99"/>
    <w:semiHidden/>
    <w:unhideWhenUsed/>
    <w:rsid w:val="007338C0"/>
    <w:rPr>
      <w:b/>
      <w:bCs/>
    </w:rPr>
  </w:style>
  <w:style w:type="character" w:customStyle="1" w:styleId="CommentSubjectChar">
    <w:name w:val="Comment Subject Char"/>
    <w:link w:val="CommentSubject"/>
    <w:uiPriority w:val="99"/>
    <w:semiHidden/>
    <w:rsid w:val="007338C0"/>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DHCFP\Administration\CHIA%20Policies,%20Forms%20and%20Templates\Letterhead\CHIAletterhead%20T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056E-DE68-485D-9354-C98EDDD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CHIAletterhead TB.dotx</Template>
  <TotalTime>0</TotalTime>
  <Pages>7</Pages>
  <Words>1290</Words>
  <Characters>7355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Carman</dc:creator>
  <cp:lastModifiedBy>Cristi Carman</cp:lastModifiedBy>
  <cp:revision>2</cp:revision>
  <cp:lastPrinted>2014-05-02T15:39:00Z</cp:lastPrinted>
  <dcterms:created xsi:type="dcterms:W3CDTF">2014-05-13T15:15:00Z</dcterms:created>
  <dcterms:modified xsi:type="dcterms:W3CDTF">2014-05-13T15:15:00Z</dcterms:modified>
</cp:coreProperties>
</file>