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8B9" w:rsidRDefault="00F918B9" w:rsidP="00F81CE9">
      <w:pPr>
        <w:spacing w:after="200" w:line="276" w:lineRule="auto"/>
        <w:rPr>
          <w:rFonts w:eastAsia="Calibri"/>
          <w:b/>
          <w:szCs w:val="22"/>
        </w:rPr>
      </w:pPr>
      <w:r>
        <w:rPr>
          <w:rFonts w:eastAsia="Calibri"/>
          <w:b/>
          <w:szCs w:val="22"/>
        </w:rPr>
        <w:t>Methodology for the Calculation of Statewide Relative Prices</w:t>
      </w:r>
    </w:p>
    <w:p w:rsidR="00F81CE9" w:rsidRDefault="00025F26" w:rsidP="00F81CE9">
      <w:pPr>
        <w:spacing w:line="276" w:lineRule="auto"/>
        <w:rPr>
          <w:rFonts w:eastAsia="Calibri"/>
          <w:noProof/>
          <w:sz w:val="22"/>
          <w:szCs w:val="22"/>
        </w:rPr>
      </w:pPr>
      <w:r>
        <w:rPr>
          <w:rFonts w:eastAsia="Calibri"/>
          <w:b/>
          <w:szCs w:val="22"/>
        </w:rPr>
        <w:fldChar w:fldCharType="begin"/>
      </w:r>
      <w:r>
        <w:rPr>
          <w:rFonts w:eastAsia="Calibri"/>
          <w:b/>
          <w:szCs w:val="22"/>
        </w:rPr>
        <w:instrText xml:space="preserve"> DATE \@ "MMMM d, yyyy" </w:instrText>
      </w:r>
      <w:r>
        <w:rPr>
          <w:rFonts w:eastAsia="Calibri"/>
          <w:b/>
          <w:szCs w:val="22"/>
        </w:rPr>
        <w:fldChar w:fldCharType="separate"/>
      </w:r>
      <w:r w:rsidR="007C7EAB">
        <w:rPr>
          <w:rFonts w:eastAsia="Calibri"/>
          <w:b/>
          <w:noProof/>
          <w:szCs w:val="22"/>
        </w:rPr>
        <w:t>January 12, 2017</w:t>
      </w:r>
      <w:r>
        <w:rPr>
          <w:rFonts w:eastAsia="Calibri"/>
          <w:b/>
          <w:szCs w:val="22"/>
        </w:rPr>
        <w:fldChar w:fldCharType="end"/>
      </w:r>
    </w:p>
    <w:p w:rsidR="00025F26" w:rsidRDefault="00025F26" w:rsidP="00025F26">
      <w:pPr>
        <w:pBdr>
          <w:bottom w:val="single" w:sz="4" w:space="1" w:color="auto"/>
        </w:pBdr>
        <w:spacing w:line="276" w:lineRule="auto"/>
        <w:rPr>
          <w:rFonts w:eastAsia="Calibri"/>
          <w:noProof/>
          <w:sz w:val="22"/>
          <w:szCs w:val="22"/>
        </w:rPr>
      </w:pPr>
    </w:p>
    <w:p w:rsidR="00025F26" w:rsidRPr="009316F6" w:rsidRDefault="00025F26" w:rsidP="00F81CE9">
      <w:pPr>
        <w:spacing w:line="276" w:lineRule="auto"/>
        <w:rPr>
          <w:rFonts w:eastAsia="Calibri"/>
          <w:szCs w:val="22"/>
          <w:u w:val="single"/>
        </w:rPr>
      </w:pPr>
    </w:p>
    <w:p w:rsidR="0033230B" w:rsidRDefault="00534F0A" w:rsidP="00DD1982">
      <w:pPr>
        <w:spacing w:line="276" w:lineRule="auto"/>
        <w:rPr>
          <w:sz w:val="22"/>
          <w:szCs w:val="22"/>
        </w:rPr>
      </w:pPr>
      <w:r>
        <w:rPr>
          <w:sz w:val="22"/>
          <w:szCs w:val="22"/>
        </w:rPr>
        <w:t xml:space="preserve">This </w:t>
      </w:r>
      <w:r w:rsidR="00866E53">
        <w:rPr>
          <w:sz w:val="22"/>
          <w:szCs w:val="22"/>
        </w:rPr>
        <w:t>memorandum</w:t>
      </w:r>
      <w:r w:rsidRPr="00C56D27">
        <w:rPr>
          <w:sz w:val="22"/>
          <w:szCs w:val="22"/>
        </w:rPr>
        <w:t xml:space="preserve"> </w:t>
      </w:r>
      <w:r w:rsidR="00C5450E">
        <w:rPr>
          <w:sz w:val="22"/>
          <w:szCs w:val="22"/>
        </w:rPr>
        <w:t>describes the</w:t>
      </w:r>
      <w:r w:rsidR="0033230B">
        <w:rPr>
          <w:sz w:val="22"/>
          <w:szCs w:val="22"/>
        </w:rPr>
        <w:t xml:space="preserve"> </w:t>
      </w:r>
      <w:r w:rsidR="007773B8">
        <w:rPr>
          <w:sz w:val="22"/>
          <w:szCs w:val="22"/>
        </w:rPr>
        <w:t xml:space="preserve">final </w:t>
      </w:r>
      <w:r w:rsidR="0033230B">
        <w:rPr>
          <w:sz w:val="22"/>
          <w:szCs w:val="22"/>
        </w:rPr>
        <w:t>methodology for calculating statewide</w:t>
      </w:r>
      <w:r w:rsidR="004A0709">
        <w:rPr>
          <w:sz w:val="22"/>
          <w:szCs w:val="22"/>
        </w:rPr>
        <w:t xml:space="preserve"> </w:t>
      </w:r>
      <w:r w:rsidR="0033230B">
        <w:rPr>
          <w:sz w:val="22"/>
          <w:szCs w:val="22"/>
        </w:rPr>
        <w:t>relative price</w:t>
      </w:r>
      <w:r w:rsidR="00F918B9">
        <w:rPr>
          <w:sz w:val="22"/>
          <w:szCs w:val="22"/>
        </w:rPr>
        <w:t>s</w:t>
      </w:r>
      <w:r w:rsidR="0033230B">
        <w:rPr>
          <w:sz w:val="22"/>
          <w:szCs w:val="22"/>
        </w:rPr>
        <w:t xml:space="preserve"> (</w:t>
      </w:r>
      <w:r w:rsidR="004A0709">
        <w:rPr>
          <w:sz w:val="22"/>
          <w:szCs w:val="22"/>
        </w:rPr>
        <w:t>S</w:t>
      </w:r>
      <w:r w:rsidR="001D5008">
        <w:rPr>
          <w:sz w:val="22"/>
          <w:szCs w:val="22"/>
        </w:rPr>
        <w:t>-</w:t>
      </w:r>
      <w:r w:rsidR="0033230B">
        <w:rPr>
          <w:sz w:val="22"/>
          <w:szCs w:val="22"/>
        </w:rPr>
        <w:t>RP) pursuant to</w:t>
      </w:r>
      <w:r>
        <w:rPr>
          <w:sz w:val="22"/>
          <w:szCs w:val="22"/>
        </w:rPr>
        <w:t xml:space="preserve"> </w:t>
      </w:r>
      <w:r w:rsidR="0033230B" w:rsidRPr="00812F3B">
        <w:rPr>
          <w:sz w:val="22"/>
          <w:szCs w:val="22"/>
        </w:rPr>
        <w:t>Section 2TTTT</w:t>
      </w:r>
      <w:r w:rsidR="0033230B">
        <w:rPr>
          <w:sz w:val="22"/>
          <w:szCs w:val="22"/>
        </w:rPr>
        <w:t xml:space="preserve"> of Chapter 29 of the Massachusetts General Laws, as enacted under Chapter 115 of the Acts of 2016. </w:t>
      </w:r>
      <w:r w:rsidR="00C5450E">
        <w:rPr>
          <w:sz w:val="22"/>
          <w:szCs w:val="22"/>
        </w:rPr>
        <w:t>Pursuant to this</w:t>
      </w:r>
      <w:r w:rsidR="0033230B">
        <w:rPr>
          <w:sz w:val="22"/>
          <w:szCs w:val="22"/>
        </w:rPr>
        <w:t xml:space="preserve"> statute, the </w:t>
      </w:r>
      <w:r>
        <w:rPr>
          <w:sz w:val="22"/>
          <w:szCs w:val="22"/>
        </w:rPr>
        <w:t xml:space="preserve">Center for Health Information and Analysis (CHIA) </w:t>
      </w:r>
      <w:r w:rsidR="0033230B">
        <w:rPr>
          <w:sz w:val="22"/>
          <w:szCs w:val="22"/>
        </w:rPr>
        <w:t xml:space="preserve">is required </w:t>
      </w:r>
      <w:r>
        <w:rPr>
          <w:sz w:val="22"/>
          <w:szCs w:val="22"/>
        </w:rPr>
        <w:t xml:space="preserve">to </w:t>
      </w:r>
      <w:r w:rsidR="00774244">
        <w:rPr>
          <w:sz w:val="22"/>
          <w:szCs w:val="22"/>
        </w:rPr>
        <w:t xml:space="preserve">calculate </w:t>
      </w:r>
      <w:r w:rsidR="004A0709">
        <w:rPr>
          <w:sz w:val="22"/>
          <w:szCs w:val="22"/>
        </w:rPr>
        <w:t>S</w:t>
      </w:r>
      <w:r w:rsidR="001D5008">
        <w:rPr>
          <w:sz w:val="22"/>
          <w:szCs w:val="22"/>
        </w:rPr>
        <w:t>-</w:t>
      </w:r>
      <w:r w:rsidR="00774244">
        <w:rPr>
          <w:sz w:val="22"/>
          <w:szCs w:val="22"/>
        </w:rPr>
        <w:t xml:space="preserve">RP values for acute care hospitals, and compare these results with the statewide median. Hospitals with </w:t>
      </w:r>
      <w:r w:rsidR="004A0709">
        <w:rPr>
          <w:sz w:val="22"/>
          <w:szCs w:val="22"/>
        </w:rPr>
        <w:t>S</w:t>
      </w:r>
      <w:r w:rsidR="001D5008">
        <w:rPr>
          <w:sz w:val="22"/>
          <w:szCs w:val="22"/>
        </w:rPr>
        <w:t>-</w:t>
      </w:r>
      <w:r w:rsidR="00774244">
        <w:rPr>
          <w:sz w:val="22"/>
          <w:szCs w:val="22"/>
        </w:rPr>
        <w:t>RP values below 120 percent of th</w:t>
      </w:r>
      <w:r w:rsidR="00EA3140">
        <w:rPr>
          <w:sz w:val="22"/>
          <w:szCs w:val="22"/>
        </w:rPr>
        <w:t>e</w:t>
      </w:r>
      <w:r w:rsidR="00774244">
        <w:rPr>
          <w:sz w:val="22"/>
          <w:szCs w:val="22"/>
        </w:rPr>
        <w:t xml:space="preserve"> statewide median </w:t>
      </w:r>
      <w:r w:rsidR="00F918B9">
        <w:rPr>
          <w:sz w:val="22"/>
          <w:szCs w:val="22"/>
        </w:rPr>
        <w:t xml:space="preserve">relative price </w:t>
      </w:r>
      <w:r w:rsidR="00774244">
        <w:rPr>
          <w:sz w:val="22"/>
          <w:szCs w:val="22"/>
        </w:rPr>
        <w:t xml:space="preserve">will be eligible for payments from the Community Hospital Reinvestment Trust Fund. </w:t>
      </w:r>
      <w:r w:rsidR="000E7D8F">
        <w:rPr>
          <w:sz w:val="22"/>
          <w:szCs w:val="22"/>
        </w:rPr>
        <w:t xml:space="preserve">An example S-RP calculation and </w:t>
      </w:r>
      <w:r w:rsidR="0062691C">
        <w:rPr>
          <w:sz w:val="22"/>
          <w:szCs w:val="22"/>
        </w:rPr>
        <w:t>current</w:t>
      </w:r>
      <w:r w:rsidR="000E7D8F">
        <w:rPr>
          <w:sz w:val="22"/>
          <w:szCs w:val="22"/>
        </w:rPr>
        <w:t xml:space="preserve"> S-RP results can be found on CHIA’s website accompanying this memorandum.  </w:t>
      </w:r>
    </w:p>
    <w:p w:rsidR="00774244" w:rsidRDefault="00774244" w:rsidP="00DD1982">
      <w:pPr>
        <w:spacing w:line="276" w:lineRule="auto"/>
        <w:rPr>
          <w:sz w:val="22"/>
          <w:szCs w:val="22"/>
        </w:rPr>
      </w:pPr>
    </w:p>
    <w:p w:rsidR="001E70E4" w:rsidRPr="00703E8E" w:rsidRDefault="001E70E4" w:rsidP="00DD1982">
      <w:pPr>
        <w:spacing w:line="276" w:lineRule="auto"/>
        <w:rPr>
          <w:b/>
          <w:szCs w:val="22"/>
        </w:rPr>
      </w:pPr>
      <w:r w:rsidRPr="00703E8E">
        <w:rPr>
          <w:b/>
          <w:szCs w:val="22"/>
        </w:rPr>
        <w:t xml:space="preserve">Background </w:t>
      </w:r>
    </w:p>
    <w:p w:rsidR="005A25DA" w:rsidRDefault="005A25DA" w:rsidP="00DD1982">
      <w:pPr>
        <w:spacing w:line="276" w:lineRule="auto"/>
        <w:rPr>
          <w:sz w:val="22"/>
          <w:szCs w:val="22"/>
        </w:rPr>
      </w:pPr>
      <w:r>
        <w:rPr>
          <w:sz w:val="22"/>
          <w:szCs w:val="22"/>
        </w:rPr>
        <w:t xml:space="preserve">Pursuant to </w:t>
      </w:r>
      <w:r w:rsidR="00C5450E">
        <w:rPr>
          <w:sz w:val="22"/>
          <w:szCs w:val="22"/>
        </w:rPr>
        <w:t>M.G.L. c. 29, § 2TTTT,</w:t>
      </w:r>
      <w:r>
        <w:rPr>
          <w:sz w:val="22"/>
          <w:szCs w:val="22"/>
        </w:rPr>
        <w:t xml:space="preserve"> CHIA is required to calculate a </w:t>
      </w:r>
      <w:r w:rsidR="00C26F4B">
        <w:rPr>
          <w:sz w:val="22"/>
          <w:szCs w:val="22"/>
        </w:rPr>
        <w:t xml:space="preserve">median </w:t>
      </w:r>
      <w:r w:rsidR="00521921">
        <w:rPr>
          <w:sz w:val="22"/>
          <w:szCs w:val="22"/>
        </w:rPr>
        <w:t>S</w:t>
      </w:r>
      <w:r w:rsidR="001D5008">
        <w:rPr>
          <w:sz w:val="22"/>
          <w:szCs w:val="22"/>
        </w:rPr>
        <w:t>-</w:t>
      </w:r>
      <w:r>
        <w:rPr>
          <w:sz w:val="22"/>
          <w:szCs w:val="22"/>
        </w:rPr>
        <w:t xml:space="preserve">RP value and identify acute care hospitals with </w:t>
      </w:r>
      <w:r w:rsidR="00521921">
        <w:rPr>
          <w:sz w:val="22"/>
          <w:szCs w:val="22"/>
        </w:rPr>
        <w:t>S</w:t>
      </w:r>
      <w:r w:rsidR="001D5008">
        <w:rPr>
          <w:sz w:val="22"/>
          <w:szCs w:val="22"/>
        </w:rPr>
        <w:t>-</w:t>
      </w:r>
      <w:r>
        <w:rPr>
          <w:sz w:val="22"/>
          <w:szCs w:val="22"/>
        </w:rPr>
        <w:t xml:space="preserve">RP scores below 120 percent of the </w:t>
      </w:r>
      <w:r w:rsidR="00C26F4B">
        <w:rPr>
          <w:sz w:val="22"/>
          <w:szCs w:val="22"/>
        </w:rPr>
        <w:t xml:space="preserve">median </w:t>
      </w:r>
      <w:r w:rsidR="00521921">
        <w:rPr>
          <w:sz w:val="22"/>
          <w:szCs w:val="22"/>
        </w:rPr>
        <w:t>S</w:t>
      </w:r>
      <w:r w:rsidR="001D5008">
        <w:rPr>
          <w:sz w:val="22"/>
          <w:szCs w:val="22"/>
        </w:rPr>
        <w:t>-</w:t>
      </w:r>
      <w:r>
        <w:rPr>
          <w:sz w:val="22"/>
          <w:szCs w:val="22"/>
        </w:rPr>
        <w:t>RP</w:t>
      </w:r>
      <w:r w:rsidR="00C26F4B">
        <w:rPr>
          <w:sz w:val="22"/>
          <w:szCs w:val="22"/>
        </w:rPr>
        <w:t xml:space="preserve"> value</w:t>
      </w:r>
      <w:r>
        <w:rPr>
          <w:sz w:val="22"/>
          <w:szCs w:val="22"/>
        </w:rPr>
        <w:t xml:space="preserve"> annually. Acute care hospitals with </w:t>
      </w:r>
      <w:r w:rsidR="00521921">
        <w:rPr>
          <w:sz w:val="22"/>
          <w:szCs w:val="22"/>
        </w:rPr>
        <w:t>S</w:t>
      </w:r>
      <w:r w:rsidR="005B6063">
        <w:rPr>
          <w:sz w:val="22"/>
          <w:szCs w:val="22"/>
        </w:rPr>
        <w:t>-</w:t>
      </w:r>
      <w:r>
        <w:rPr>
          <w:sz w:val="22"/>
          <w:szCs w:val="22"/>
        </w:rPr>
        <w:t xml:space="preserve">RPs below 120 percent of the </w:t>
      </w:r>
      <w:r w:rsidR="00C26F4B">
        <w:rPr>
          <w:sz w:val="22"/>
          <w:szCs w:val="22"/>
        </w:rPr>
        <w:t>median</w:t>
      </w:r>
      <w:r>
        <w:rPr>
          <w:sz w:val="22"/>
          <w:szCs w:val="22"/>
        </w:rPr>
        <w:t xml:space="preserve"> are eligible to receive payments from the </w:t>
      </w:r>
      <w:r w:rsidR="00C26F4B">
        <w:rPr>
          <w:sz w:val="22"/>
          <w:szCs w:val="22"/>
        </w:rPr>
        <w:t>Community Hospital Reinvestment Trust Fund (</w:t>
      </w:r>
      <w:r>
        <w:rPr>
          <w:sz w:val="22"/>
          <w:szCs w:val="22"/>
        </w:rPr>
        <w:t>CH</w:t>
      </w:r>
      <w:r w:rsidR="00C26F4B">
        <w:rPr>
          <w:sz w:val="22"/>
          <w:szCs w:val="22"/>
        </w:rPr>
        <w:t>R</w:t>
      </w:r>
      <w:r>
        <w:rPr>
          <w:sz w:val="22"/>
          <w:szCs w:val="22"/>
        </w:rPr>
        <w:t>TF</w:t>
      </w:r>
      <w:r w:rsidR="00C26F4B">
        <w:rPr>
          <w:sz w:val="22"/>
          <w:szCs w:val="22"/>
        </w:rPr>
        <w:t>)</w:t>
      </w:r>
      <w:r>
        <w:rPr>
          <w:sz w:val="22"/>
          <w:szCs w:val="22"/>
        </w:rPr>
        <w:t xml:space="preserve">. Based on CHIA’s eligibility determination, the </w:t>
      </w:r>
      <w:r w:rsidRPr="00054900">
        <w:rPr>
          <w:sz w:val="22"/>
          <w:szCs w:val="22"/>
        </w:rPr>
        <w:t>Secretary of the Executive Office of Health and Human Services (EOHHS)</w:t>
      </w:r>
      <w:r>
        <w:rPr>
          <w:sz w:val="22"/>
          <w:szCs w:val="22"/>
        </w:rPr>
        <w:t xml:space="preserve"> </w:t>
      </w:r>
      <w:r w:rsidR="00C5450E">
        <w:rPr>
          <w:sz w:val="22"/>
          <w:szCs w:val="22"/>
        </w:rPr>
        <w:t>shall</w:t>
      </w:r>
      <w:r>
        <w:rPr>
          <w:sz w:val="22"/>
          <w:szCs w:val="22"/>
        </w:rPr>
        <w:t xml:space="preserve"> allocate payments from the CH</w:t>
      </w:r>
      <w:r w:rsidR="00C26F4B">
        <w:rPr>
          <w:sz w:val="22"/>
          <w:szCs w:val="22"/>
        </w:rPr>
        <w:t>R</w:t>
      </w:r>
      <w:r>
        <w:rPr>
          <w:sz w:val="22"/>
          <w:szCs w:val="22"/>
        </w:rPr>
        <w:t>TF to</w:t>
      </w:r>
      <w:r w:rsidR="00C5450E">
        <w:rPr>
          <w:sz w:val="22"/>
          <w:szCs w:val="22"/>
        </w:rPr>
        <w:t xml:space="preserve"> eligible hospitals pursuant to the requirements of</w:t>
      </w:r>
      <w:r w:rsidR="00C5450E" w:rsidRPr="00BB103B">
        <w:rPr>
          <w:sz w:val="22"/>
          <w:szCs w:val="22"/>
        </w:rPr>
        <w:t xml:space="preserve"> </w:t>
      </w:r>
      <w:r w:rsidR="00C5450E">
        <w:rPr>
          <w:sz w:val="22"/>
          <w:szCs w:val="22"/>
        </w:rPr>
        <w:t>M.G.L. c. 29, § 2TTTT and any regulation promulgated thereunder.</w:t>
      </w:r>
      <w:r>
        <w:rPr>
          <w:rStyle w:val="FootnoteReference"/>
          <w:sz w:val="22"/>
          <w:szCs w:val="22"/>
        </w:rPr>
        <w:footnoteReference w:id="1"/>
      </w:r>
    </w:p>
    <w:p w:rsidR="005B6063" w:rsidRDefault="005B6063" w:rsidP="00DD1982">
      <w:pPr>
        <w:spacing w:line="276" w:lineRule="auto"/>
        <w:rPr>
          <w:b/>
          <w:szCs w:val="22"/>
        </w:rPr>
      </w:pPr>
    </w:p>
    <w:p w:rsidR="00776702" w:rsidRDefault="00521921" w:rsidP="00DD1982">
      <w:pPr>
        <w:spacing w:line="276" w:lineRule="auto"/>
        <w:rPr>
          <w:b/>
          <w:szCs w:val="22"/>
        </w:rPr>
      </w:pPr>
      <w:r>
        <w:rPr>
          <w:b/>
          <w:szCs w:val="22"/>
        </w:rPr>
        <w:t>S</w:t>
      </w:r>
      <w:r w:rsidR="00E2721C">
        <w:rPr>
          <w:b/>
          <w:szCs w:val="22"/>
        </w:rPr>
        <w:t>-</w:t>
      </w:r>
      <w:r w:rsidR="00776702">
        <w:rPr>
          <w:b/>
          <w:szCs w:val="22"/>
        </w:rPr>
        <w:t>RP Measure Development</w:t>
      </w:r>
      <w:r w:rsidR="00776702" w:rsidRPr="00703E8E">
        <w:rPr>
          <w:b/>
          <w:szCs w:val="22"/>
        </w:rPr>
        <w:t xml:space="preserve"> </w:t>
      </w:r>
    </w:p>
    <w:p w:rsidR="0062691C" w:rsidRDefault="0062691C" w:rsidP="0062691C">
      <w:pPr>
        <w:spacing w:line="276" w:lineRule="auto"/>
        <w:rPr>
          <w:sz w:val="22"/>
          <w:szCs w:val="22"/>
        </w:rPr>
      </w:pPr>
      <w:r>
        <w:rPr>
          <w:sz w:val="22"/>
          <w:szCs w:val="22"/>
        </w:rPr>
        <w:t xml:space="preserve">CHIA </w:t>
      </w:r>
      <w:r w:rsidRPr="005A25DA">
        <w:rPr>
          <w:sz w:val="22"/>
          <w:szCs w:val="22"/>
        </w:rPr>
        <w:t xml:space="preserve">is </w:t>
      </w:r>
      <w:r>
        <w:rPr>
          <w:sz w:val="22"/>
          <w:szCs w:val="22"/>
        </w:rPr>
        <w:t xml:space="preserve">required by statute </w:t>
      </w:r>
      <w:r w:rsidRPr="005A25DA">
        <w:rPr>
          <w:sz w:val="22"/>
          <w:szCs w:val="22"/>
        </w:rPr>
        <w:t xml:space="preserve">to collect </w:t>
      </w:r>
      <w:r>
        <w:rPr>
          <w:sz w:val="22"/>
          <w:szCs w:val="22"/>
        </w:rPr>
        <w:t>relative price (RP) data</w:t>
      </w:r>
      <w:r w:rsidRPr="005A25DA">
        <w:rPr>
          <w:sz w:val="22"/>
          <w:szCs w:val="22"/>
        </w:rPr>
        <w:t xml:space="preserve"> from private health care payers</w:t>
      </w:r>
      <w:r>
        <w:rPr>
          <w:rStyle w:val="FootnoteReference"/>
          <w:sz w:val="22"/>
          <w:szCs w:val="22"/>
        </w:rPr>
        <w:footnoteReference w:id="2"/>
      </w:r>
      <w:r w:rsidRPr="005A25DA">
        <w:rPr>
          <w:sz w:val="22"/>
          <w:szCs w:val="22"/>
        </w:rPr>
        <w:t xml:space="preserve"> operating in the Massachusetts</w:t>
      </w:r>
      <w:r>
        <w:rPr>
          <w:sz w:val="22"/>
          <w:szCs w:val="22"/>
        </w:rPr>
        <w:t xml:space="preserve"> </w:t>
      </w:r>
      <w:r w:rsidRPr="005A25DA">
        <w:rPr>
          <w:sz w:val="22"/>
          <w:szCs w:val="22"/>
        </w:rPr>
        <w:t>health care market</w:t>
      </w:r>
      <w:r>
        <w:rPr>
          <w:sz w:val="22"/>
          <w:szCs w:val="22"/>
        </w:rPr>
        <w:t xml:space="preserve"> on an annual basis</w:t>
      </w:r>
      <w:r w:rsidRPr="005A25DA">
        <w:rPr>
          <w:sz w:val="22"/>
          <w:szCs w:val="22"/>
        </w:rPr>
        <w:t>.</w:t>
      </w:r>
      <w:r>
        <w:rPr>
          <w:rStyle w:val="FootnoteReference"/>
          <w:sz w:val="22"/>
          <w:szCs w:val="22"/>
        </w:rPr>
        <w:footnoteReference w:id="3"/>
      </w:r>
      <w:r w:rsidRPr="005A25DA">
        <w:rPr>
          <w:sz w:val="22"/>
          <w:szCs w:val="22"/>
        </w:rPr>
        <w:t xml:space="preserve"> </w:t>
      </w:r>
      <w:r>
        <w:rPr>
          <w:sz w:val="22"/>
          <w:szCs w:val="22"/>
        </w:rPr>
        <w:t xml:space="preserve">Defined broadly, RP is </w:t>
      </w:r>
      <w:r w:rsidRPr="005A25DA">
        <w:rPr>
          <w:sz w:val="22"/>
          <w:szCs w:val="22"/>
        </w:rPr>
        <w:t>a</w:t>
      </w:r>
      <w:r>
        <w:rPr>
          <w:sz w:val="22"/>
          <w:szCs w:val="22"/>
        </w:rPr>
        <w:t>n</w:t>
      </w:r>
      <w:r w:rsidRPr="005A25DA">
        <w:rPr>
          <w:sz w:val="22"/>
          <w:szCs w:val="22"/>
        </w:rPr>
        <w:t xml:space="preserve"> aggregate measure used to evaluate variation in prices</w:t>
      </w:r>
      <w:r>
        <w:rPr>
          <w:sz w:val="22"/>
          <w:szCs w:val="22"/>
        </w:rPr>
        <w:t xml:space="preserve"> for similar providers within individual payer networks</w:t>
      </w:r>
      <w:r w:rsidRPr="005A25DA">
        <w:rPr>
          <w:sz w:val="22"/>
          <w:szCs w:val="22"/>
        </w:rPr>
        <w:t>.</w:t>
      </w:r>
      <w:r>
        <w:rPr>
          <w:sz w:val="22"/>
          <w:szCs w:val="22"/>
        </w:rPr>
        <w:t xml:space="preserve"> To ensure prices are appropriately compared across providers, </w:t>
      </w:r>
      <w:r w:rsidRPr="005A25DA">
        <w:rPr>
          <w:sz w:val="22"/>
          <w:szCs w:val="22"/>
        </w:rPr>
        <w:t xml:space="preserve">RP </w:t>
      </w:r>
      <w:r>
        <w:rPr>
          <w:sz w:val="22"/>
          <w:szCs w:val="22"/>
        </w:rPr>
        <w:t>adjusts</w:t>
      </w:r>
      <w:r w:rsidRPr="005A25DA">
        <w:rPr>
          <w:sz w:val="22"/>
          <w:szCs w:val="22"/>
        </w:rPr>
        <w:t xml:space="preserve"> for differences</w:t>
      </w:r>
      <w:r>
        <w:rPr>
          <w:sz w:val="22"/>
          <w:szCs w:val="22"/>
        </w:rPr>
        <w:t xml:space="preserve"> </w:t>
      </w:r>
      <w:r w:rsidRPr="005A25DA">
        <w:rPr>
          <w:sz w:val="22"/>
          <w:szCs w:val="22"/>
        </w:rPr>
        <w:t>in the quantity and types of services delivered by providers and for differences in the types of insurance</w:t>
      </w:r>
      <w:r>
        <w:rPr>
          <w:sz w:val="22"/>
          <w:szCs w:val="22"/>
        </w:rPr>
        <w:t xml:space="preserve"> </w:t>
      </w:r>
      <w:r w:rsidRPr="005A25DA">
        <w:rPr>
          <w:sz w:val="22"/>
          <w:szCs w:val="22"/>
        </w:rPr>
        <w:t xml:space="preserve">products </w:t>
      </w:r>
      <w:r>
        <w:rPr>
          <w:sz w:val="22"/>
          <w:szCs w:val="22"/>
        </w:rPr>
        <w:t>carried by each provider’s patients</w:t>
      </w:r>
      <w:r w:rsidRPr="005A25DA">
        <w:rPr>
          <w:sz w:val="22"/>
          <w:szCs w:val="22"/>
        </w:rPr>
        <w:t>.</w:t>
      </w:r>
      <w:r>
        <w:rPr>
          <w:sz w:val="22"/>
          <w:szCs w:val="22"/>
        </w:rPr>
        <w:t xml:space="preserve"> Importantly, different data are provided for inpatient and outpatient care which requires different methods to be used to create a single RP value within each spending category.</w:t>
      </w:r>
      <w:r>
        <w:rPr>
          <w:rStyle w:val="FootnoteReference"/>
          <w:sz w:val="22"/>
          <w:szCs w:val="22"/>
        </w:rPr>
        <w:footnoteReference w:id="4"/>
      </w:r>
      <w:r>
        <w:rPr>
          <w:sz w:val="22"/>
          <w:szCs w:val="22"/>
        </w:rPr>
        <w:t xml:space="preserve"> </w:t>
      </w:r>
    </w:p>
    <w:p w:rsidR="0062691C" w:rsidRDefault="0062691C" w:rsidP="0062691C">
      <w:pPr>
        <w:spacing w:line="276" w:lineRule="auto"/>
        <w:rPr>
          <w:sz w:val="22"/>
          <w:szCs w:val="22"/>
        </w:rPr>
      </w:pPr>
      <w:r w:rsidRPr="0065609E">
        <w:rPr>
          <w:sz w:val="22"/>
          <w:szCs w:val="22"/>
        </w:rPr>
        <w:lastRenderedPageBreak/>
        <w:t xml:space="preserve">By construction, the network average RP equals 1.0 for each payer network. </w:t>
      </w:r>
      <w:r>
        <w:rPr>
          <w:sz w:val="22"/>
          <w:szCs w:val="22"/>
        </w:rPr>
        <w:t xml:space="preserve">This measure allows for a relative comparison of each provider’s price level compared to different providers within a given payer network in a given year. </w:t>
      </w:r>
      <w:r w:rsidRPr="0065609E">
        <w:rPr>
          <w:sz w:val="22"/>
          <w:szCs w:val="22"/>
        </w:rPr>
        <w:t>Providers with RP</w:t>
      </w:r>
      <w:r>
        <w:rPr>
          <w:sz w:val="22"/>
          <w:szCs w:val="22"/>
        </w:rPr>
        <w:t xml:space="preserve"> scores</w:t>
      </w:r>
      <w:r w:rsidRPr="0065609E">
        <w:rPr>
          <w:sz w:val="22"/>
          <w:szCs w:val="22"/>
        </w:rPr>
        <w:t xml:space="preserve"> above 1.0 receive higher-than-average p</w:t>
      </w:r>
      <w:r>
        <w:rPr>
          <w:sz w:val="22"/>
          <w:szCs w:val="22"/>
        </w:rPr>
        <w:t>rices</w:t>
      </w:r>
      <w:r w:rsidRPr="0065609E">
        <w:rPr>
          <w:sz w:val="22"/>
          <w:szCs w:val="22"/>
        </w:rPr>
        <w:t xml:space="preserve"> in a payer’s network, and vice versa. </w:t>
      </w:r>
      <w:r>
        <w:rPr>
          <w:sz w:val="22"/>
          <w:szCs w:val="22"/>
        </w:rPr>
        <w:t>However</w:t>
      </w:r>
      <w:r w:rsidRPr="0065609E">
        <w:rPr>
          <w:sz w:val="22"/>
          <w:szCs w:val="22"/>
        </w:rPr>
        <w:t xml:space="preserve">, because </w:t>
      </w:r>
      <w:r>
        <w:rPr>
          <w:sz w:val="22"/>
          <w:szCs w:val="22"/>
        </w:rPr>
        <w:t>RP</w:t>
      </w:r>
      <w:r w:rsidRPr="0065609E">
        <w:rPr>
          <w:sz w:val="22"/>
          <w:szCs w:val="22"/>
        </w:rPr>
        <w:t xml:space="preserve"> is specific to each payer’s network, RP values are not directly comparable across payers.</w:t>
      </w:r>
      <w:r>
        <w:rPr>
          <w:sz w:val="22"/>
          <w:szCs w:val="22"/>
        </w:rPr>
        <w:t xml:space="preserve"> </w:t>
      </w:r>
      <w:r w:rsidRPr="00027561">
        <w:rPr>
          <w:sz w:val="22"/>
          <w:szCs w:val="22"/>
        </w:rPr>
        <w:t xml:space="preserve">A provider with a higher RP score for a given payer may not have higher absolute prices </w:t>
      </w:r>
      <w:r>
        <w:rPr>
          <w:sz w:val="22"/>
          <w:szCs w:val="22"/>
        </w:rPr>
        <w:t>for that payer than it has with other payers where its RP score is lower</w:t>
      </w:r>
      <w:r w:rsidRPr="00027561">
        <w:rPr>
          <w:sz w:val="22"/>
          <w:szCs w:val="22"/>
        </w:rPr>
        <w:t>.</w:t>
      </w:r>
      <w:r>
        <w:rPr>
          <w:rStyle w:val="FootnoteReference"/>
          <w:sz w:val="22"/>
          <w:szCs w:val="22"/>
        </w:rPr>
        <w:footnoteReference w:id="5"/>
      </w:r>
      <w:r w:rsidRPr="00027561">
        <w:rPr>
          <w:sz w:val="22"/>
          <w:szCs w:val="22"/>
        </w:rPr>
        <w:t xml:space="preserve"> </w:t>
      </w:r>
    </w:p>
    <w:p w:rsidR="0062691C" w:rsidRPr="00703E8E" w:rsidRDefault="0062691C" w:rsidP="00DD1982">
      <w:pPr>
        <w:spacing w:line="276" w:lineRule="auto"/>
        <w:rPr>
          <w:b/>
          <w:szCs w:val="22"/>
        </w:rPr>
      </w:pPr>
    </w:p>
    <w:p w:rsidR="00175D16" w:rsidRDefault="0062691C" w:rsidP="00DD1982">
      <w:pPr>
        <w:spacing w:line="276" w:lineRule="auto"/>
        <w:rPr>
          <w:sz w:val="22"/>
          <w:szCs w:val="22"/>
        </w:rPr>
      </w:pPr>
      <w:r>
        <w:rPr>
          <w:sz w:val="22"/>
          <w:szCs w:val="22"/>
        </w:rPr>
        <w:t xml:space="preserve">To develop a cross-payer S-RP measure, CHIA built upon this conventional RP data and methodology. </w:t>
      </w:r>
      <w:r w:rsidR="009958C8">
        <w:rPr>
          <w:sz w:val="22"/>
          <w:szCs w:val="22"/>
        </w:rPr>
        <w:t xml:space="preserve">However, the RP </w:t>
      </w:r>
      <w:r w:rsidR="009958C8" w:rsidRPr="005625F2">
        <w:rPr>
          <w:sz w:val="22"/>
          <w:szCs w:val="22"/>
        </w:rPr>
        <w:t>measure does not readily lend itself to the cal</w:t>
      </w:r>
      <w:r w:rsidR="009958C8">
        <w:rPr>
          <w:sz w:val="22"/>
          <w:szCs w:val="22"/>
        </w:rPr>
        <w:t xml:space="preserve">culation of a statewide metric due to its payer-specific </w:t>
      </w:r>
      <w:r w:rsidR="00972584">
        <w:rPr>
          <w:sz w:val="22"/>
          <w:szCs w:val="22"/>
        </w:rPr>
        <w:t>construction</w:t>
      </w:r>
      <w:r w:rsidR="009958C8">
        <w:rPr>
          <w:sz w:val="22"/>
          <w:szCs w:val="22"/>
        </w:rPr>
        <w:t xml:space="preserve"> </w:t>
      </w:r>
      <w:r w:rsidR="000652EC">
        <w:rPr>
          <w:sz w:val="22"/>
          <w:szCs w:val="22"/>
        </w:rPr>
        <w:t xml:space="preserve">and </w:t>
      </w:r>
      <w:r w:rsidR="009958C8">
        <w:rPr>
          <w:sz w:val="22"/>
          <w:szCs w:val="22"/>
        </w:rPr>
        <w:t xml:space="preserve">the lack of </w:t>
      </w:r>
      <w:r w:rsidR="00972584">
        <w:rPr>
          <w:sz w:val="22"/>
          <w:szCs w:val="22"/>
        </w:rPr>
        <w:t xml:space="preserve">standardized data components </w:t>
      </w:r>
      <w:r w:rsidR="000B526A">
        <w:rPr>
          <w:sz w:val="22"/>
          <w:szCs w:val="22"/>
        </w:rPr>
        <w:t xml:space="preserve">across payers </w:t>
      </w:r>
      <w:r w:rsidR="009958C8">
        <w:rPr>
          <w:sz w:val="22"/>
          <w:szCs w:val="22"/>
        </w:rPr>
        <w:t xml:space="preserve">for outpatient </w:t>
      </w:r>
      <w:r w:rsidR="000B526A">
        <w:rPr>
          <w:sz w:val="22"/>
          <w:szCs w:val="22"/>
        </w:rPr>
        <w:t>payments</w:t>
      </w:r>
      <w:r w:rsidR="00B73CB4">
        <w:rPr>
          <w:sz w:val="22"/>
          <w:szCs w:val="22"/>
        </w:rPr>
        <w:t>.</w:t>
      </w:r>
      <w:r w:rsidR="00EC7ABC">
        <w:rPr>
          <w:rStyle w:val="FootnoteReference"/>
          <w:sz w:val="22"/>
          <w:szCs w:val="22"/>
        </w:rPr>
        <w:footnoteReference w:id="6"/>
      </w:r>
      <w:r w:rsidR="00B73CB4">
        <w:rPr>
          <w:sz w:val="22"/>
          <w:szCs w:val="22"/>
        </w:rPr>
        <w:t xml:space="preserve"> </w:t>
      </w:r>
      <w:r w:rsidR="004B1FC0">
        <w:rPr>
          <w:sz w:val="22"/>
          <w:szCs w:val="22"/>
        </w:rPr>
        <w:t>This necessitated CHIA’s development of</w:t>
      </w:r>
      <w:r w:rsidR="000760F2" w:rsidRPr="005625F2">
        <w:rPr>
          <w:sz w:val="22"/>
          <w:szCs w:val="22"/>
        </w:rPr>
        <w:t xml:space="preserve"> a new methodology to </w:t>
      </w:r>
      <w:r w:rsidR="00F225B1">
        <w:rPr>
          <w:sz w:val="22"/>
          <w:szCs w:val="22"/>
        </w:rPr>
        <w:t>calculate</w:t>
      </w:r>
      <w:r w:rsidR="00DB6DA3">
        <w:rPr>
          <w:sz w:val="22"/>
          <w:szCs w:val="22"/>
        </w:rPr>
        <w:t xml:space="preserve"> </w:t>
      </w:r>
      <w:r w:rsidR="00535CF5">
        <w:rPr>
          <w:sz w:val="22"/>
          <w:szCs w:val="22"/>
        </w:rPr>
        <w:t>S</w:t>
      </w:r>
      <w:r w:rsidR="00E2721C">
        <w:rPr>
          <w:sz w:val="22"/>
          <w:szCs w:val="22"/>
        </w:rPr>
        <w:t>-</w:t>
      </w:r>
      <w:r w:rsidR="00C63879">
        <w:rPr>
          <w:sz w:val="22"/>
          <w:szCs w:val="22"/>
        </w:rPr>
        <w:t>RP value</w:t>
      </w:r>
      <w:r w:rsidR="00DB6DA3">
        <w:rPr>
          <w:sz w:val="22"/>
          <w:szCs w:val="22"/>
        </w:rPr>
        <w:t>s</w:t>
      </w:r>
      <w:r w:rsidR="00C63879">
        <w:rPr>
          <w:sz w:val="22"/>
          <w:szCs w:val="22"/>
        </w:rPr>
        <w:t>.</w:t>
      </w:r>
      <w:r w:rsidR="000652EC">
        <w:rPr>
          <w:sz w:val="22"/>
          <w:szCs w:val="22"/>
        </w:rPr>
        <w:t xml:space="preserve"> </w:t>
      </w:r>
      <w:r w:rsidR="00175D16">
        <w:rPr>
          <w:sz w:val="22"/>
          <w:szCs w:val="22"/>
        </w:rPr>
        <w:t xml:space="preserve">In approaching the development of </w:t>
      </w:r>
      <w:r w:rsidR="00521921">
        <w:rPr>
          <w:sz w:val="22"/>
          <w:szCs w:val="22"/>
        </w:rPr>
        <w:t>S</w:t>
      </w:r>
      <w:r w:rsidR="00E2721C">
        <w:rPr>
          <w:sz w:val="22"/>
          <w:szCs w:val="22"/>
        </w:rPr>
        <w:t>-</w:t>
      </w:r>
      <w:r w:rsidR="00175D16">
        <w:rPr>
          <w:sz w:val="22"/>
          <w:szCs w:val="22"/>
        </w:rPr>
        <w:t xml:space="preserve">RP, CHIA </w:t>
      </w:r>
      <w:r w:rsidR="00B71A01">
        <w:rPr>
          <w:sz w:val="22"/>
          <w:szCs w:val="22"/>
        </w:rPr>
        <w:t>maintained</w:t>
      </w:r>
      <w:r w:rsidR="00175D16">
        <w:rPr>
          <w:sz w:val="22"/>
          <w:szCs w:val="22"/>
        </w:rPr>
        <w:t xml:space="preserve"> two </w:t>
      </w:r>
      <w:r w:rsidR="00835AA6">
        <w:rPr>
          <w:sz w:val="22"/>
          <w:szCs w:val="22"/>
        </w:rPr>
        <w:t>design</w:t>
      </w:r>
      <w:r w:rsidR="00175D16">
        <w:rPr>
          <w:sz w:val="22"/>
          <w:szCs w:val="22"/>
        </w:rPr>
        <w:t xml:space="preserve"> principles: </w:t>
      </w:r>
      <w:r w:rsidR="000652EC" w:rsidRPr="00B71A01">
        <w:rPr>
          <w:sz w:val="22"/>
          <w:szCs w:val="22"/>
        </w:rPr>
        <w:t>(1) the me</w:t>
      </w:r>
      <w:r w:rsidR="000652EC">
        <w:rPr>
          <w:sz w:val="22"/>
          <w:szCs w:val="22"/>
        </w:rPr>
        <w:t>thod</w:t>
      </w:r>
      <w:r w:rsidR="000652EC" w:rsidRPr="00B71A01">
        <w:rPr>
          <w:sz w:val="22"/>
          <w:szCs w:val="22"/>
        </w:rPr>
        <w:t xml:space="preserve"> </w:t>
      </w:r>
      <w:r w:rsidR="008F1DE6">
        <w:rPr>
          <w:sz w:val="22"/>
          <w:szCs w:val="22"/>
        </w:rPr>
        <w:t>was to be</w:t>
      </w:r>
      <w:r w:rsidR="000652EC" w:rsidRPr="00B71A01">
        <w:rPr>
          <w:sz w:val="22"/>
          <w:szCs w:val="22"/>
        </w:rPr>
        <w:t xml:space="preserve"> methodologically sound</w:t>
      </w:r>
      <w:r w:rsidR="000652EC">
        <w:rPr>
          <w:sz w:val="22"/>
          <w:szCs w:val="22"/>
        </w:rPr>
        <w:t xml:space="preserve"> and leverage the existing framework and core data of the </w:t>
      </w:r>
      <w:r w:rsidR="00835AA6">
        <w:rPr>
          <w:sz w:val="22"/>
          <w:szCs w:val="22"/>
        </w:rPr>
        <w:t>conventional</w:t>
      </w:r>
      <w:r w:rsidR="000652EC">
        <w:rPr>
          <w:sz w:val="22"/>
          <w:szCs w:val="22"/>
        </w:rPr>
        <w:t xml:space="preserve"> RP method</w:t>
      </w:r>
      <w:r w:rsidR="000652EC" w:rsidRPr="00B71A01">
        <w:rPr>
          <w:sz w:val="22"/>
          <w:szCs w:val="22"/>
        </w:rPr>
        <w:t xml:space="preserve"> and</w:t>
      </w:r>
      <w:r w:rsidR="000652EC">
        <w:rPr>
          <w:sz w:val="22"/>
          <w:szCs w:val="22"/>
        </w:rPr>
        <w:t xml:space="preserve">, </w:t>
      </w:r>
      <w:r w:rsidR="000652EC" w:rsidRPr="00B71A01">
        <w:rPr>
          <w:sz w:val="22"/>
          <w:szCs w:val="22"/>
        </w:rPr>
        <w:t>(2) the me</w:t>
      </w:r>
      <w:r w:rsidR="000652EC">
        <w:rPr>
          <w:sz w:val="22"/>
          <w:szCs w:val="22"/>
        </w:rPr>
        <w:t>thod</w:t>
      </w:r>
      <w:r w:rsidR="000652EC" w:rsidRPr="00B71A01">
        <w:rPr>
          <w:sz w:val="22"/>
          <w:szCs w:val="22"/>
        </w:rPr>
        <w:t xml:space="preserve"> </w:t>
      </w:r>
      <w:r w:rsidR="008F1DE6">
        <w:rPr>
          <w:sz w:val="22"/>
          <w:szCs w:val="22"/>
        </w:rPr>
        <w:t>was</w:t>
      </w:r>
      <w:r w:rsidR="000652EC" w:rsidRPr="00B71A01">
        <w:rPr>
          <w:sz w:val="22"/>
          <w:szCs w:val="22"/>
        </w:rPr>
        <w:t xml:space="preserve"> </w:t>
      </w:r>
      <w:r w:rsidR="008F1DE6">
        <w:rPr>
          <w:sz w:val="22"/>
          <w:szCs w:val="22"/>
        </w:rPr>
        <w:t xml:space="preserve">to </w:t>
      </w:r>
      <w:r w:rsidR="000652EC" w:rsidRPr="00B71A01">
        <w:rPr>
          <w:sz w:val="22"/>
          <w:szCs w:val="22"/>
        </w:rPr>
        <w:t xml:space="preserve">be </w:t>
      </w:r>
      <w:r w:rsidR="000652EC">
        <w:rPr>
          <w:sz w:val="22"/>
          <w:szCs w:val="22"/>
        </w:rPr>
        <w:t xml:space="preserve">calibrated to </w:t>
      </w:r>
      <w:r w:rsidR="000652EC" w:rsidRPr="00B71A01">
        <w:rPr>
          <w:sz w:val="22"/>
          <w:szCs w:val="22"/>
        </w:rPr>
        <w:t xml:space="preserve">reflect each provider’s </w:t>
      </w:r>
      <w:r w:rsidR="000652EC">
        <w:rPr>
          <w:sz w:val="22"/>
          <w:szCs w:val="22"/>
        </w:rPr>
        <w:t xml:space="preserve">individual </w:t>
      </w:r>
      <w:r w:rsidR="000652EC" w:rsidRPr="00B71A01">
        <w:rPr>
          <w:sz w:val="22"/>
          <w:szCs w:val="22"/>
        </w:rPr>
        <w:t xml:space="preserve">experience </w:t>
      </w:r>
      <w:r w:rsidR="00835AA6">
        <w:rPr>
          <w:sz w:val="22"/>
          <w:szCs w:val="22"/>
        </w:rPr>
        <w:t>to the extent practical.</w:t>
      </w:r>
    </w:p>
    <w:p w:rsidR="000652EC" w:rsidRDefault="000652EC" w:rsidP="00DD1982">
      <w:pPr>
        <w:spacing w:line="276" w:lineRule="auto"/>
        <w:rPr>
          <w:sz w:val="22"/>
          <w:szCs w:val="22"/>
        </w:rPr>
      </w:pPr>
    </w:p>
    <w:p w:rsidR="0062691C" w:rsidRDefault="0062691C" w:rsidP="0062691C">
      <w:pPr>
        <w:spacing w:line="276" w:lineRule="auto"/>
        <w:rPr>
          <w:sz w:val="22"/>
          <w:szCs w:val="22"/>
        </w:rPr>
      </w:pPr>
      <w:r>
        <w:rPr>
          <w:sz w:val="22"/>
          <w:szCs w:val="22"/>
        </w:rPr>
        <w:t xml:space="preserve">On November 22, 2016, CHIA issued </w:t>
      </w:r>
      <w:r w:rsidR="001E197F">
        <w:rPr>
          <w:sz w:val="22"/>
          <w:szCs w:val="22"/>
        </w:rPr>
        <w:t>a</w:t>
      </w:r>
      <w:r>
        <w:rPr>
          <w:sz w:val="22"/>
          <w:szCs w:val="22"/>
        </w:rPr>
        <w:t xml:space="preserve"> proposed S-RP methodology on its website and requested public comment from interested parties. CHIA hosted a webinar on November 29, 2016, to review the proposed methodology and take questions from the public. In addition, CHIA provided each acute care hospital with its own calendar year (CY) 2015 S-RP scores using the proposed methodology. The deadline for providing comments was 5:00pm EST on Wednesday, December 14, 2016. </w:t>
      </w:r>
    </w:p>
    <w:p w:rsidR="0062691C" w:rsidRDefault="0062691C" w:rsidP="00DD1982">
      <w:pPr>
        <w:spacing w:line="276" w:lineRule="auto"/>
        <w:rPr>
          <w:sz w:val="22"/>
          <w:szCs w:val="22"/>
        </w:rPr>
      </w:pPr>
    </w:p>
    <w:p w:rsidR="0062528D" w:rsidRDefault="0062528D" w:rsidP="00DD1982">
      <w:pPr>
        <w:spacing w:line="276" w:lineRule="auto"/>
        <w:rPr>
          <w:b/>
          <w:szCs w:val="22"/>
        </w:rPr>
      </w:pPr>
      <w:r>
        <w:rPr>
          <w:sz w:val="22"/>
          <w:szCs w:val="22"/>
        </w:rPr>
        <w:t xml:space="preserve">Based on our review of </w:t>
      </w:r>
      <w:r w:rsidR="00111960">
        <w:rPr>
          <w:sz w:val="22"/>
          <w:szCs w:val="22"/>
        </w:rPr>
        <w:t>relative price (</w:t>
      </w:r>
      <w:r>
        <w:rPr>
          <w:sz w:val="22"/>
          <w:szCs w:val="22"/>
        </w:rPr>
        <w:t>RP</w:t>
      </w:r>
      <w:r w:rsidR="00111960">
        <w:rPr>
          <w:sz w:val="22"/>
          <w:szCs w:val="22"/>
        </w:rPr>
        <w:t>)</w:t>
      </w:r>
      <w:r>
        <w:rPr>
          <w:sz w:val="22"/>
          <w:szCs w:val="22"/>
        </w:rPr>
        <w:t xml:space="preserve"> data, input from actuarial consultants, discussion with stakeholders, and review of public comments, CHIA is finalizing the proposed S-RP methodology without changes.</w:t>
      </w:r>
      <w:r w:rsidR="0077757B">
        <w:rPr>
          <w:sz w:val="22"/>
          <w:szCs w:val="22"/>
        </w:rPr>
        <w:t xml:space="preserve"> CHIA </w:t>
      </w:r>
      <w:r w:rsidR="000E7D8F">
        <w:rPr>
          <w:sz w:val="22"/>
          <w:szCs w:val="22"/>
        </w:rPr>
        <w:t xml:space="preserve">considered all comments carefully and </w:t>
      </w:r>
      <w:r w:rsidR="0077757B">
        <w:rPr>
          <w:sz w:val="22"/>
          <w:szCs w:val="22"/>
        </w:rPr>
        <w:t>appreciates the interest and input from valued members</w:t>
      </w:r>
      <w:r w:rsidR="000E7D8F">
        <w:rPr>
          <w:sz w:val="22"/>
          <w:szCs w:val="22"/>
        </w:rPr>
        <w:t xml:space="preserve"> of the </w:t>
      </w:r>
      <w:r w:rsidR="008F1DE6">
        <w:rPr>
          <w:sz w:val="22"/>
          <w:szCs w:val="22"/>
        </w:rPr>
        <w:t xml:space="preserve">health care </w:t>
      </w:r>
      <w:r w:rsidR="000E7D8F">
        <w:rPr>
          <w:sz w:val="22"/>
          <w:szCs w:val="22"/>
        </w:rPr>
        <w:t>community</w:t>
      </w:r>
      <w:r w:rsidR="0077757B">
        <w:rPr>
          <w:sz w:val="22"/>
          <w:szCs w:val="22"/>
        </w:rPr>
        <w:t xml:space="preserve">.  </w:t>
      </w:r>
    </w:p>
    <w:p w:rsidR="0062528D" w:rsidRDefault="0062528D" w:rsidP="00DD1982">
      <w:pPr>
        <w:spacing w:line="276" w:lineRule="auto"/>
        <w:rPr>
          <w:b/>
          <w:szCs w:val="22"/>
        </w:rPr>
      </w:pPr>
    </w:p>
    <w:p w:rsidR="005B6063" w:rsidRDefault="00521921" w:rsidP="00DD1982">
      <w:pPr>
        <w:spacing w:line="276" w:lineRule="auto"/>
        <w:rPr>
          <w:b/>
          <w:szCs w:val="22"/>
        </w:rPr>
      </w:pPr>
      <w:r>
        <w:rPr>
          <w:b/>
          <w:szCs w:val="22"/>
        </w:rPr>
        <w:t>S</w:t>
      </w:r>
      <w:r w:rsidR="00E2721C">
        <w:rPr>
          <w:b/>
          <w:szCs w:val="22"/>
        </w:rPr>
        <w:t>-</w:t>
      </w:r>
      <w:r w:rsidR="00DE1F5A">
        <w:rPr>
          <w:b/>
          <w:szCs w:val="22"/>
        </w:rPr>
        <w:t xml:space="preserve">RP </w:t>
      </w:r>
      <w:r w:rsidR="00C27026">
        <w:rPr>
          <w:b/>
          <w:szCs w:val="22"/>
        </w:rPr>
        <w:t xml:space="preserve">Measure </w:t>
      </w:r>
      <w:r w:rsidR="00DE1F5A">
        <w:rPr>
          <w:b/>
          <w:szCs w:val="22"/>
        </w:rPr>
        <w:t>Methodology</w:t>
      </w:r>
    </w:p>
    <w:p w:rsidR="008F1DE6" w:rsidRDefault="006D2A47" w:rsidP="00DD1982">
      <w:pPr>
        <w:spacing w:line="276" w:lineRule="auto"/>
        <w:rPr>
          <w:sz w:val="22"/>
          <w:szCs w:val="22"/>
        </w:rPr>
      </w:pPr>
      <w:r>
        <w:rPr>
          <w:sz w:val="22"/>
          <w:szCs w:val="22"/>
        </w:rPr>
        <w:t xml:space="preserve">CHIA’s </w:t>
      </w:r>
      <w:r w:rsidR="00A743EF">
        <w:rPr>
          <w:sz w:val="22"/>
          <w:szCs w:val="22"/>
        </w:rPr>
        <w:t>final</w:t>
      </w:r>
      <w:r w:rsidR="000B526A">
        <w:rPr>
          <w:sz w:val="22"/>
          <w:szCs w:val="22"/>
        </w:rPr>
        <w:t xml:space="preserve"> </w:t>
      </w:r>
      <w:r>
        <w:rPr>
          <w:sz w:val="22"/>
          <w:szCs w:val="22"/>
        </w:rPr>
        <w:t xml:space="preserve">methodology for calculating </w:t>
      </w:r>
      <w:r w:rsidR="00521921">
        <w:rPr>
          <w:sz w:val="22"/>
          <w:szCs w:val="22"/>
        </w:rPr>
        <w:t>S</w:t>
      </w:r>
      <w:r w:rsidR="00E2721C">
        <w:rPr>
          <w:sz w:val="22"/>
          <w:szCs w:val="22"/>
        </w:rPr>
        <w:t>-</w:t>
      </w:r>
      <w:r>
        <w:rPr>
          <w:sz w:val="22"/>
          <w:szCs w:val="22"/>
        </w:rPr>
        <w:t>RP is detailed below.</w:t>
      </w:r>
      <w:r w:rsidR="009B5467">
        <w:rPr>
          <w:rStyle w:val="FootnoteReference"/>
          <w:sz w:val="22"/>
          <w:szCs w:val="22"/>
        </w:rPr>
        <w:footnoteReference w:id="7"/>
      </w:r>
      <w:r>
        <w:rPr>
          <w:sz w:val="22"/>
          <w:szCs w:val="22"/>
        </w:rPr>
        <w:t xml:space="preserve"> </w:t>
      </w:r>
      <w:r w:rsidR="0062528D">
        <w:rPr>
          <w:sz w:val="22"/>
          <w:szCs w:val="22"/>
        </w:rPr>
        <w:t>CHIA calculate</w:t>
      </w:r>
      <w:r w:rsidR="008F1DE6">
        <w:rPr>
          <w:sz w:val="22"/>
          <w:szCs w:val="22"/>
        </w:rPr>
        <w:t>d</w:t>
      </w:r>
      <w:r w:rsidR="0062528D">
        <w:rPr>
          <w:sz w:val="22"/>
          <w:szCs w:val="22"/>
        </w:rPr>
        <w:t xml:space="preserve"> the S-RP by using payer-specific inpatient product-adjusted ABRs and payer-specific outpatient RP values. For each hospital, CHIA convert</w:t>
      </w:r>
      <w:r w:rsidR="008F1DE6">
        <w:rPr>
          <w:sz w:val="22"/>
          <w:szCs w:val="22"/>
        </w:rPr>
        <w:t>ed</w:t>
      </w:r>
      <w:r w:rsidR="0062528D">
        <w:rPr>
          <w:sz w:val="22"/>
          <w:szCs w:val="22"/>
        </w:rPr>
        <w:t xml:space="preserve"> these payer-specific values into cross-payer relativities and then blended</w:t>
      </w:r>
      <w:r w:rsidR="008F1DE6">
        <w:rPr>
          <w:sz w:val="22"/>
          <w:szCs w:val="22"/>
        </w:rPr>
        <w:t xml:space="preserve"> these inpatient and outpatient values</w:t>
      </w:r>
      <w:r w:rsidR="0062528D">
        <w:rPr>
          <w:sz w:val="22"/>
          <w:szCs w:val="22"/>
        </w:rPr>
        <w:t xml:space="preserve"> together to achieve a single S-RP value. When blend</w:t>
      </w:r>
      <w:r w:rsidR="008F1DE6">
        <w:rPr>
          <w:sz w:val="22"/>
          <w:szCs w:val="22"/>
        </w:rPr>
        <w:t>ed</w:t>
      </w:r>
      <w:r w:rsidR="0062528D">
        <w:rPr>
          <w:sz w:val="22"/>
          <w:szCs w:val="22"/>
        </w:rPr>
        <w:t xml:space="preserve"> across payers and across inpatient and outpatient spending categories, CHIA weight</w:t>
      </w:r>
      <w:r w:rsidR="008F1DE6">
        <w:rPr>
          <w:sz w:val="22"/>
          <w:szCs w:val="22"/>
        </w:rPr>
        <w:t>ed</w:t>
      </w:r>
      <w:r w:rsidR="0062528D">
        <w:rPr>
          <w:sz w:val="22"/>
          <w:szCs w:val="22"/>
        </w:rPr>
        <w:t xml:space="preserve"> these elements according to the provider-specific share of payments.</w:t>
      </w:r>
      <w:r w:rsidR="00111960">
        <w:rPr>
          <w:sz w:val="22"/>
          <w:szCs w:val="22"/>
        </w:rPr>
        <w:t xml:space="preserve"> An example S-RP calculation can be found on CHIA’s website accompanying this memorandum.  </w:t>
      </w:r>
    </w:p>
    <w:p w:rsidR="00B71A01" w:rsidRPr="006D2A47" w:rsidRDefault="00111960" w:rsidP="00DD1982">
      <w:pPr>
        <w:spacing w:line="276" w:lineRule="auto"/>
        <w:rPr>
          <w:sz w:val="22"/>
          <w:szCs w:val="22"/>
        </w:rPr>
      </w:pPr>
      <w:r>
        <w:rPr>
          <w:sz w:val="22"/>
          <w:szCs w:val="22"/>
        </w:rPr>
        <w:lastRenderedPageBreak/>
        <w:t xml:space="preserve">For reference, </w:t>
      </w:r>
      <w:r w:rsidR="006D2A47">
        <w:rPr>
          <w:sz w:val="22"/>
          <w:szCs w:val="22"/>
        </w:rPr>
        <w:t xml:space="preserve">the final measure of a hospital’s inpatient price under </w:t>
      </w:r>
      <w:r w:rsidR="00B40736">
        <w:rPr>
          <w:sz w:val="22"/>
          <w:szCs w:val="22"/>
        </w:rPr>
        <w:t xml:space="preserve">conventional </w:t>
      </w:r>
      <w:r w:rsidR="006D2A47">
        <w:rPr>
          <w:sz w:val="22"/>
          <w:szCs w:val="22"/>
        </w:rPr>
        <w:t xml:space="preserve">RP is known as the </w:t>
      </w:r>
      <w:r w:rsidR="004B1FC0">
        <w:rPr>
          <w:sz w:val="22"/>
          <w:szCs w:val="22"/>
        </w:rPr>
        <w:t>product-</w:t>
      </w:r>
      <w:r w:rsidR="006D2A47">
        <w:rPr>
          <w:sz w:val="22"/>
          <w:szCs w:val="22"/>
        </w:rPr>
        <w:t xml:space="preserve">adjusted </w:t>
      </w:r>
      <w:r w:rsidR="009F6F69">
        <w:rPr>
          <w:sz w:val="22"/>
          <w:szCs w:val="22"/>
        </w:rPr>
        <w:t xml:space="preserve">adjusted </w:t>
      </w:r>
      <w:r w:rsidR="006D2A47">
        <w:rPr>
          <w:sz w:val="22"/>
          <w:szCs w:val="22"/>
        </w:rPr>
        <w:t>base rate (ABR). The final mea</w:t>
      </w:r>
      <w:r w:rsidR="00714748">
        <w:rPr>
          <w:sz w:val="22"/>
          <w:szCs w:val="22"/>
        </w:rPr>
        <w:t>s</w:t>
      </w:r>
      <w:r w:rsidR="006D2A47">
        <w:rPr>
          <w:sz w:val="22"/>
          <w:szCs w:val="22"/>
        </w:rPr>
        <w:t xml:space="preserve">ure of a hospital’s outpatient price under </w:t>
      </w:r>
      <w:r w:rsidR="00B40736">
        <w:rPr>
          <w:sz w:val="22"/>
          <w:szCs w:val="22"/>
        </w:rPr>
        <w:t xml:space="preserve">conventional </w:t>
      </w:r>
      <w:r w:rsidR="006D2A47">
        <w:rPr>
          <w:sz w:val="22"/>
          <w:szCs w:val="22"/>
        </w:rPr>
        <w:t xml:space="preserve">RP is known as the </w:t>
      </w:r>
      <w:r w:rsidR="00714748" w:rsidRPr="00714748">
        <w:rPr>
          <w:sz w:val="22"/>
          <w:szCs w:val="22"/>
        </w:rPr>
        <w:t>product adjusted base service-weighted multiplier</w:t>
      </w:r>
      <w:r w:rsidR="00714748">
        <w:rPr>
          <w:sz w:val="22"/>
          <w:szCs w:val="22"/>
        </w:rPr>
        <w:t xml:space="preserve">. </w:t>
      </w:r>
      <w:r w:rsidR="00FD50DF">
        <w:rPr>
          <w:sz w:val="22"/>
          <w:szCs w:val="22"/>
        </w:rPr>
        <w:t xml:space="preserve">As noted above, CHIA </w:t>
      </w:r>
      <w:r w:rsidR="003E6BFA">
        <w:rPr>
          <w:sz w:val="22"/>
          <w:szCs w:val="22"/>
        </w:rPr>
        <w:t>calculate</w:t>
      </w:r>
      <w:r w:rsidR="008F1DE6">
        <w:rPr>
          <w:sz w:val="22"/>
          <w:szCs w:val="22"/>
        </w:rPr>
        <w:t>d</w:t>
      </w:r>
      <w:r w:rsidR="003E6BFA">
        <w:rPr>
          <w:sz w:val="22"/>
          <w:szCs w:val="22"/>
        </w:rPr>
        <w:t xml:space="preserve"> the inpatient cross-payer relativity using product-adjusted ABRs. </w:t>
      </w:r>
      <w:proofErr w:type="gramStart"/>
      <w:r w:rsidR="003E6BFA">
        <w:rPr>
          <w:sz w:val="22"/>
          <w:szCs w:val="22"/>
        </w:rPr>
        <w:t xml:space="preserve">CHIA </w:t>
      </w:r>
      <w:r w:rsidR="00E2721C">
        <w:rPr>
          <w:sz w:val="22"/>
          <w:szCs w:val="22"/>
        </w:rPr>
        <w:t xml:space="preserve"> </w:t>
      </w:r>
      <w:r w:rsidR="003E6BFA">
        <w:rPr>
          <w:sz w:val="22"/>
          <w:szCs w:val="22"/>
        </w:rPr>
        <w:t>calculate</w:t>
      </w:r>
      <w:r w:rsidR="00680A60">
        <w:rPr>
          <w:sz w:val="22"/>
          <w:szCs w:val="22"/>
        </w:rPr>
        <w:t>d</w:t>
      </w:r>
      <w:proofErr w:type="gramEnd"/>
      <w:r w:rsidR="00680A60">
        <w:rPr>
          <w:sz w:val="22"/>
          <w:szCs w:val="22"/>
        </w:rPr>
        <w:t xml:space="preserve"> </w:t>
      </w:r>
      <w:r w:rsidR="003E6BFA">
        <w:rPr>
          <w:sz w:val="22"/>
          <w:szCs w:val="22"/>
        </w:rPr>
        <w:t>payer-specific outpatient RP values using the product adjusted base service-weighted multipliers and then blend</w:t>
      </w:r>
      <w:r w:rsidR="00680A60">
        <w:rPr>
          <w:sz w:val="22"/>
          <w:szCs w:val="22"/>
        </w:rPr>
        <w:t>ed</w:t>
      </w:r>
      <w:r w:rsidR="003E6BFA">
        <w:rPr>
          <w:sz w:val="22"/>
          <w:szCs w:val="22"/>
        </w:rPr>
        <w:t xml:space="preserve"> the RP values to achieve the outpatient cross-payer relativity. The inpatient and outpatient cross-payer relativities </w:t>
      </w:r>
      <w:r w:rsidR="00680A60">
        <w:rPr>
          <w:sz w:val="22"/>
          <w:szCs w:val="22"/>
        </w:rPr>
        <w:t>were</w:t>
      </w:r>
      <w:r w:rsidR="003E6BFA">
        <w:rPr>
          <w:sz w:val="22"/>
          <w:szCs w:val="22"/>
        </w:rPr>
        <w:t xml:space="preserve"> then blended to calculate the final S</w:t>
      </w:r>
      <w:r w:rsidR="00E2721C">
        <w:rPr>
          <w:sz w:val="22"/>
          <w:szCs w:val="22"/>
        </w:rPr>
        <w:t>-</w:t>
      </w:r>
      <w:r w:rsidR="003E6BFA">
        <w:rPr>
          <w:sz w:val="22"/>
          <w:szCs w:val="22"/>
        </w:rPr>
        <w:t xml:space="preserve">RP. </w:t>
      </w:r>
      <w:r>
        <w:rPr>
          <w:sz w:val="22"/>
          <w:szCs w:val="22"/>
        </w:rPr>
        <w:t>Further background</w:t>
      </w:r>
      <w:r w:rsidRPr="00111960">
        <w:rPr>
          <w:sz w:val="22"/>
          <w:szCs w:val="22"/>
        </w:rPr>
        <w:t xml:space="preserve"> information on the </w:t>
      </w:r>
      <w:r>
        <w:rPr>
          <w:sz w:val="22"/>
          <w:szCs w:val="22"/>
        </w:rPr>
        <w:t>methodological components</w:t>
      </w:r>
      <w:r w:rsidRPr="00111960">
        <w:rPr>
          <w:sz w:val="22"/>
          <w:szCs w:val="22"/>
        </w:rPr>
        <w:t xml:space="preserve"> for calculating </w:t>
      </w:r>
      <w:r>
        <w:rPr>
          <w:sz w:val="22"/>
          <w:szCs w:val="22"/>
        </w:rPr>
        <w:t xml:space="preserve">conventional </w:t>
      </w:r>
      <w:r w:rsidRPr="00111960">
        <w:rPr>
          <w:sz w:val="22"/>
          <w:szCs w:val="22"/>
        </w:rPr>
        <w:t xml:space="preserve">RP can be found in CHIA’s RP Methodology Paper available at </w:t>
      </w:r>
      <w:hyperlink r:id="rId9" w:history="1">
        <w:r w:rsidRPr="003C79EB">
          <w:rPr>
            <w:rStyle w:val="Hyperlink"/>
            <w:sz w:val="22"/>
            <w:szCs w:val="22"/>
          </w:rPr>
          <w:t>http://www.chiamass.gov/assets/docs/r/pubs/16/RP-Methodology-Paper-9-15-16.pdf</w:t>
        </w:r>
      </w:hyperlink>
      <w:r w:rsidRPr="00111960">
        <w:rPr>
          <w:sz w:val="22"/>
          <w:szCs w:val="22"/>
        </w:rPr>
        <w:t>.</w:t>
      </w:r>
    </w:p>
    <w:p w:rsidR="006D2A47" w:rsidRDefault="006D2A47" w:rsidP="00DD1982">
      <w:pPr>
        <w:spacing w:line="276" w:lineRule="auto"/>
        <w:rPr>
          <w:b/>
          <w:sz w:val="22"/>
          <w:szCs w:val="22"/>
        </w:rPr>
      </w:pPr>
    </w:p>
    <w:p w:rsidR="006821FE" w:rsidRPr="00B71A01" w:rsidRDefault="006821FE" w:rsidP="00DD1982">
      <w:pPr>
        <w:spacing w:line="276" w:lineRule="auto"/>
        <w:rPr>
          <w:b/>
          <w:color w:val="E36C0A" w:themeColor="accent6" w:themeShade="BF"/>
          <w:sz w:val="22"/>
          <w:szCs w:val="22"/>
        </w:rPr>
      </w:pPr>
      <w:r w:rsidRPr="00B71A01">
        <w:rPr>
          <w:b/>
          <w:color w:val="E36C0A" w:themeColor="accent6" w:themeShade="BF"/>
          <w:sz w:val="22"/>
          <w:szCs w:val="22"/>
        </w:rPr>
        <w:t xml:space="preserve">Step 1: Calculate </w:t>
      </w:r>
      <w:r w:rsidR="00281E3B">
        <w:rPr>
          <w:b/>
          <w:color w:val="E36C0A" w:themeColor="accent6" w:themeShade="BF"/>
          <w:sz w:val="22"/>
          <w:szCs w:val="22"/>
        </w:rPr>
        <w:t xml:space="preserve">Cross-Payer </w:t>
      </w:r>
      <w:r w:rsidRPr="00B71A01">
        <w:rPr>
          <w:b/>
          <w:color w:val="E36C0A" w:themeColor="accent6" w:themeShade="BF"/>
          <w:sz w:val="22"/>
          <w:szCs w:val="22"/>
        </w:rPr>
        <w:t xml:space="preserve">Inpatient </w:t>
      </w:r>
      <w:r w:rsidR="00281E3B">
        <w:rPr>
          <w:b/>
          <w:color w:val="E36C0A" w:themeColor="accent6" w:themeShade="BF"/>
          <w:sz w:val="22"/>
          <w:szCs w:val="22"/>
        </w:rPr>
        <w:t xml:space="preserve">Adjusted Base Rates </w:t>
      </w:r>
      <w:r w:rsidRPr="00B71A01">
        <w:rPr>
          <w:b/>
          <w:color w:val="E36C0A" w:themeColor="accent6" w:themeShade="BF"/>
          <w:sz w:val="22"/>
          <w:szCs w:val="22"/>
        </w:rPr>
        <w:t xml:space="preserve">and Outpatient </w:t>
      </w:r>
      <w:r w:rsidR="00521921">
        <w:rPr>
          <w:b/>
          <w:color w:val="E36C0A" w:themeColor="accent6" w:themeShade="BF"/>
          <w:sz w:val="22"/>
          <w:szCs w:val="22"/>
        </w:rPr>
        <w:t xml:space="preserve">RPs </w:t>
      </w:r>
    </w:p>
    <w:p w:rsidR="00B71A01" w:rsidRPr="00B71A01" w:rsidRDefault="00B71A01" w:rsidP="00DD1982">
      <w:pPr>
        <w:spacing w:line="276" w:lineRule="auto"/>
        <w:rPr>
          <w:i/>
          <w:sz w:val="22"/>
          <w:szCs w:val="22"/>
        </w:rPr>
      </w:pPr>
    </w:p>
    <w:p w:rsidR="006821FE" w:rsidRPr="00B71A01" w:rsidRDefault="006821FE" w:rsidP="00DD1982">
      <w:pPr>
        <w:spacing w:line="276" w:lineRule="auto"/>
        <w:rPr>
          <w:i/>
          <w:sz w:val="22"/>
          <w:szCs w:val="22"/>
        </w:rPr>
      </w:pPr>
      <w:r w:rsidRPr="00B71A01">
        <w:rPr>
          <w:i/>
          <w:sz w:val="22"/>
          <w:szCs w:val="22"/>
        </w:rPr>
        <w:t>Inpatient:</w:t>
      </w:r>
    </w:p>
    <w:p w:rsidR="006821FE" w:rsidRPr="00B71A01" w:rsidRDefault="006821FE" w:rsidP="00DD1982">
      <w:pPr>
        <w:pStyle w:val="ListParagraph"/>
        <w:numPr>
          <w:ilvl w:val="0"/>
          <w:numId w:val="15"/>
        </w:numPr>
        <w:spacing w:after="200" w:line="276" w:lineRule="auto"/>
        <w:rPr>
          <w:sz w:val="22"/>
          <w:szCs w:val="22"/>
        </w:rPr>
      </w:pPr>
      <w:r w:rsidRPr="00B71A01">
        <w:rPr>
          <w:sz w:val="22"/>
          <w:szCs w:val="22"/>
        </w:rPr>
        <w:t>For each hospital, compute product-adjusted, payer-specific payments per case-mix adjusted discharge (</w:t>
      </w:r>
      <w:r w:rsidR="00B71A01" w:rsidRPr="00B71A01">
        <w:rPr>
          <w:sz w:val="22"/>
          <w:szCs w:val="22"/>
        </w:rPr>
        <w:t>i.e.,</w:t>
      </w:r>
      <w:r w:rsidR="0035075D" w:rsidRPr="00B71A01">
        <w:rPr>
          <w:sz w:val="22"/>
          <w:szCs w:val="22"/>
        </w:rPr>
        <w:t xml:space="preserve"> </w:t>
      </w:r>
      <w:r w:rsidR="00714748">
        <w:rPr>
          <w:sz w:val="22"/>
          <w:szCs w:val="22"/>
        </w:rPr>
        <w:t>product-adjusted ABR</w:t>
      </w:r>
      <w:r w:rsidR="0035075D" w:rsidRPr="00B71A01">
        <w:rPr>
          <w:sz w:val="22"/>
          <w:szCs w:val="22"/>
        </w:rPr>
        <w:t>)</w:t>
      </w:r>
    </w:p>
    <w:p w:rsidR="006821FE" w:rsidRPr="00B71A01" w:rsidRDefault="006821FE" w:rsidP="00DD1982">
      <w:pPr>
        <w:pStyle w:val="ListParagraph"/>
        <w:numPr>
          <w:ilvl w:val="0"/>
          <w:numId w:val="15"/>
        </w:numPr>
        <w:spacing w:after="200" w:line="276" w:lineRule="auto"/>
        <w:rPr>
          <w:sz w:val="22"/>
          <w:szCs w:val="22"/>
        </w:rPr>
      </w:pPr>
      <w:r w:rsidRPr="00B71A01">
        <w:rPr>
          <w:sz w:val="22"/>
          <w:szCs w:val="22"/>
        </w:rPr>
        <w:t xml:space="preserve">Combine payer-specific </w:t>
      </w:r>
      <w:r w:rsidR="009F6F69">
        <w:rPr>
          <w:sz w:val="22"/>
          <w:szCs w:val="22"/>
        </w:rPr>
        <w:t xml:space="preserve">product-adjusted </w:t>
      </w:r>
      <w:r w:rsidRPr="00B71A01">
        <w:rPr>
          <w:sz w:val="22"/>
          <w:szCs w:val="22"/>
        </w:rPr>
        <w:t xml:space="preserve">ABRs into a single, </w:t>
      </w:r>
      <w:r w:rsidR="0016701D">
        <w:rPr>
          <w:sz w:val="22"/>
          <w:szCs w:val="22"/>
        </w:rPr>
        <w:t xml:space="preserve">cross </w:t>
      </w:r>
      <w:r w:rsidRPr="00B71A01">
        <w:rPr>
          <w:sz w:val="22"/>
          <w:szCs w:val="22"/>
        </w:rPr>
        <w:t xml:space="preserve">-payer </w:t>
      </w:r>
      <w:r w:rsidR="00714748">
        <w:rPr>
          <w:sz w:val="22"/>
          <w:szCs w:val="22"/>
        </w:rPr>
        <w:t>ABR</w:t>
      </w:r>
      <w:r w:rsidR="0035075D" w:rsidRPr="00B71A01">
        <w:rPr>
          <w:sz w:val="22"/>
          <w:szCs w:val="22"/>
        </w:rPr>
        <w:t xml:space="preserve"> for each hospital</w:t>
      </w:r>
      <w:r w:rsidR="00B71A01" w:rsidRPr="00B71A01">
        <w:rPr>
          <w:sz w:val="22"/>
          <w:szCs w:val="22"/>
        </w:rPr>
        <w:t xml:space="preserve"> using the share of total </w:t>
      </w:r>
      <w:r w:rsidR="00714748">
        <w:rPr>
          <w:sz w:val="22"/>
          <w:szCs w:val="22"/>
        </w:rPr>
        <w:t xml:space="preserve">inpatient </w:t>
      </w:r>
      <w:r w:rsidR="00B71A01" w:rsidRPr="00B71A01">
        <w:rPr>
          <w:sz w:val="22"/>
          <w:szCs w:val="22"/>
        </w:rPr>
        <w:t xml:space="preserve">payments made by each payer to a given hospital </w:t>
      </w:r>
      <w:r w:rsidR="00714748">
        <w:rPr>
          <w:sz w:val="22"/>
          <w:szCs w:val="22"/>
        </w:rPr>
        <w:t>to weight each payer-specific ABR</w:t>
      </w:r>
    </w:p>
    <w:p w:rsidR="006821FE" w:rsidRPr="00B71A01" w:rsidRDefault="006821FE" w:rsidP="00DD1982">
      <w:pPr>
        <w:pStyle w:val="ListParagraph"/>
        <w:numPr>
          <w:ilvl w:val="0"/>
          <w:numId w:val="15"/>
        </w:numPr>
        <w:spacing w:after="200" w:line="276" w:lineRule="auto"/>
        <w:rPr>
          <w:sz w:val="22"/>
          <w:szCs w:val="22"/>
        </w:rPr>
      </w:pPr>
      <w:r w:rsidRPr="00B71A01">
        <w:rPr>
          <w:sz w:val="22"/>
          <w:szCs w:val="22"/>
        </w:rPr>
        <w:t xml:space="preserve">Compute statewide average </w:t>
      </w:r>
      <w:r w:rsidR="00B71A01" w:rsidRPr="00B71A01">
        <w:rPr>
          <w:sz w:val="22"/>
          <w:szCs w:val="22"/>
        </w:rPr>
        <w:t>ABR</w:t>
      </w:r>
      <w:r w:rsidRPr="00B71A01">
        <w:rPr>
          <w:sz w:val="22"/>
          <w:szCs w:val="22"/>
        </w:rPr>
        <w:t xml:space="preserve"> as the mean across all hospitals of the </w:t>
      </w:r>
      <w:r w:rsidR="0016701D">
        <w:rPr>
          <w:sz w:val="22"/>
          <w:szCs w:val="22"/>
        </w:rPr>
        <w:t>cross</w:t>
      </w:r>
      <w:r w:rsidRPr="00B71A01">
        <w:rPr>
          <w:sz w:val="22"/>
          <w:szCs w:val="22"/>
        </w:rPr>
        <w:t xml:space="preserve">-payer ABRs calculated in </w:t>
      </w:r>
      <w:r w:rsidR="00B71A01" w:rsidRPr="00B71A01">
        <w:rPr>
          <w:sz w:val="22"/>
          <w:szCs w:val="22"/>
        </w:rPr>
        <w:t>step 1</w:t>
      </w:r>
      <w:r w:rsidR="005844DB">
        <w:rPr>
          <w:sz w:val="22"/>
          <w:szCs w:val="22"/>
        </w:rPr>
        <w:t>(</w:t>
      </w:r>
      <w:r w:rsidR="00B71A01" w:rsidRPr="00B71A01">
        <w:rPr>
          <w:sz w:val="22"/>
          <w:szCs w:val="22"/>
        </w:rPr>
        <w:t>b</w:t>
      </w:r>
      <w:r w:rsidR="005844DB">
        <w:rPr>
          <w:sz w:val="22"/>
          <w:szCs w:val="22"/>
        </w:rPr>
        <w:t>)</w:t>
      </w:r>
    </w:p>
    <w:p w:rsidR="006821FE" w:rsidRPr="00B71A01" w:rsidRDefault="006821FE" w:rsidP="00DD1982">
      <w:pPr>
        <w:pStyle w:val="ListParagraph"/>
        <w:numPr>
          <w:ilvl w:val="0"/>
          <w:numId w:val="15"/>
        </w:numPr>
        <w:spacing w:after="200" w:line="276" w:lineRule="auto"/>
        <w:rPr>
          <w:sz w:val="22"/>
          <w:szCs w:val="22"/>
        </w:rPr>
      </w:pPr>
      <w:r w:rsidRPr="00B71A01">
        <w:rPr>
          <w:sz w:val="22"/>
          <w:szCs w:val="22"/>
        </w:rPr>
        <w:t xml:space="preserve">Calculate </w:t>
      </w:r>
      <w:r w:rsidR="00714748">
        <w:rPr>
          <w:sz w:val="22"/>
          <w:szCs w:val="22"/>
        </w:rPr>
        <w:t xml:space="preserve">the </w:t>
      </w:r>
      <w:r w:rsidR="0016701D">
        <w:rPr>
          <w:sz w:val="22"/>
          <w:szCs w:val="22"/>
        </w:rPr>
        <w:t>cross</w:t>
      </w:r>
      <w:r w:rsidRPr="00B71A01">
        <w:rPr>
          <w:sz w:val="22"/>
          <w:szCs w:val="22"/>
        </w:rPr>
        <w:t xml:space="preserve">-payer </w:t>
      </w:r>
      <w:r w:rsidR="00B71A01" w:rsidRPr="00B71A01">
        <w:rPr>
          <w:sz w:val="22"/>
          <w:szCs w:val="22"/>
        </w:rPr>
        <w:t xml:space="preserve">inpatient </w:t>
      </w:r>
      <w:r w:rsidR="00521921">
        <w:rPr>
          <w:sz w:val="22"/>
          <w:szCs w:val="22"/>
        </w:rPr>
        <w:t>S</w:t>
      </w:r>
      <w:r w:rsidR="00E2721C">
        <w:rPr>
          <w:sz w:val="22"/>
          <w:szCs w:val="22"/>
        </w:rPr>
        <w:t>-</w:t>
      </w:r>
      <w:r w:rsidR="00B71A01" w:rsidRPr="00B71A01">
        <w:rPr>
          <w:sz w:val="22"/>
          <w:szCs w:val="22"/>
        </w:rPr>
        <w:t>RP</w:t>
      </w:r>
      <w:r w:rsidRPr="00B71A01">
        <w:rPr>
          <w:sz w:val="22"/>
          <w:szCs w:val="22"/>
        </w:rPr>
        <w:t xml:space="preserve"> values</w:t>
      </w:r>
      <w:r w:rsidR="00714748">
        <w:rPr>
          <w:sz w:val="22"/>
          <w:szCs w:val="22"/>
        </w:rPr>
        <w:t xml:space="preserve"> for each hospital</w:t>
      </w:r>
      <w:r w:rsidRPr="00B71A01">
        <w:rPr>
          <w:sz w:val="22"/>
          <w:szCs w:val="22"/>
        </w:rPr>
        <w:t xml:space="preserve"> by dividing the hospital-specific </w:t>
      </w:r>
      <w:r w:rsidR="009F6F69">
        <w:rPr>
          <w:sz w:val="22"/>
          <w:szCs w:val="22"/>
        </w:rPr>
        <w:t>cross</w:t>
      </w:r>
      <w:r w:rsidRPr="00B71A01">
        <w:rPr>
          <w:sz w:val="22"/>
          <w:szCs w:val="22"/>
        </w:rPr>
        <w:t>-payer ABRs (</w:t>
      </w:r>
      <w:r w:rsidR="005844DB">
        <w:rPr>
          <w:sz w:val="22"/>
          <w:szCs w:val="22"/>
        </w:rPr>
        <w:t xml:space="preserve">step </w:t>
      </w:r>
      <w:r w:rsidR="00B71A01" w:rsidRPr="00B71A01">
        <w:rPr>
          <w:sz w:val="22"/>
          <w:szCs w:val="22"/>
        </w:rPr>
        <w:t>1</w:t>
      </w:r>
      <w:r w:rsidR="005844DB">
        <w:rPr>
          <w:sz w:val="22"/>
          <w:szCs w:val="22"/>
        </w:rPr>
        <w:t>(</w:t>
      </w:r>
      <w:r w:rsidR="00714748">
        <w:rPr>
          <w:sz w:val="22"/>
          <w:szCs w:val="22"/>
        </w:rPr>
        <w:t>b</w:t>
      </w:r>
      <w:r w:rsidR="005844DB">
        <w:rPr>
          <w:sz w:val="22"/>
          <w:szCs w:val="22"/>
        </w:rPr>
        <w:t>)</w:t>
      </w:r>
      <w:r w:rsidRPr="00B71A01">
        <w:rPr>
          <w:sz w:val="22"/>
          <w:szCs w:val="22"/>
        </w:rPr>
        <w:t xml:space="preserve">) by the statewide average </w:t>
      </w:r>
      <w:r w:rsidR="0016701D">
        <w:rPr>
          <w:sz w:val="22"/>
          <w:szCs w:val="22"/>
        </w:rPr>
        <w:t>cross</w:t>
      </w:r>
      <w:r w:rsidRPr="00B71A01">
        <w:rPr>
          <w:sz w:val="22"/>
          <w:szCs w:val="22"/>
        </w:rPr>
        <w:t>-payer ABR (</w:t>
      </w:r>
      <w:r w:rsidR="005844DB">
        <w:rPr>
          <w:sz w:val="22"/>
          <w:szCs w:val="22"/>
        </w:rPr>
        <w:t xml:space="preserve">step </w:t>
      </w:r>
      <w:r w:rsidR="00B71A01" w:rsidRPr="00B71A01">
        <w:rPr>
          <w:sz w:val="22"/>
          <w:szCs w:val="22"/>
        </w:rPr>
        <w:t>1</w:t>
      </w:r>
      <w:r w:rsidR="005844DB">
        <w:rPr>
          <w:sz w:val="22"/>
          <w:szCs w:val="22"/>
        </w:rPr>
        <w:t>(</w:t>
      </w:r>
      <w:r w:rsidR="00714748">
        <w:rPr>
          <w:sz w:val="22"/>
          <w:szCs w:val="22"/>
        </w:rPr>
        <w:t>c</w:t>
      </w:r>
      <w:r w:rsidR="005844DB">
        <w:rPr>
          <w:sz w:val="22"/>
          <w:szCs w:val="22"/>
        </w:rPr>
        <w:t>)</w:t>
      </w:r>
      <w:r w:rsidR="00B71A01" w:rsidRPr="00B71A01">
        <w:rPr>
          <w:sz w:val="22"/>
          <w:szCs w:val="22"/>
        </w:rPr>
        <w:t>)</w:t>
      </w:r>
    </w:p>
    <w:p w:rsidR="006821FE" w:rsidRPr="006821FE" w:rsidRDefault="006821FE" w:rsidP="00DD1982">
      <w:pPr>
        <w:pStyle w:val="ListParagraph"/>
        <w:spacing w:line="276" w:lineRule="auto"/>
        <w:rPr>
          <w:color w:val="FF0000"/>
          <w:sz w:val="22"/>
          <w:szCs w:val="22"/>
        </w:rPr>
      </w:pPr>
    </w:p>
    <w:p w:rsidR="006821FE" w:rsidRPr="00B71A01" w:rsidRDefault="006821FE" w:rsidP="00DD1982">
      <w:pPr>
        <w:pStyle w:val="ListParagraph"/>
        <w:spacing w:line="276" w:lineRule="auto"/>
        <w:ind w:left="0"/>
        <w:rPr>
          <w:i/>
          <w:sz w:val="22"/>
          <w:szCs w:val="22"/>
        </w:rPr>
      </w:pPr>
      <w:r w:rsidRPr="00B71A01">
        <w:rPr>
          <w:i/>
          <w:sz w:val="22"/>
          <w:szCs w:val="22"/>
        </w:rPr>
        <w:t>Outpatient:</w:t>
      </w:r>
    </w:p>
    <w:p w:rsidR="006821FE" w:rsidRDefault="006821FE" w:rsidP="00DD1982">
      <w:pPr>
        <w:pStyle w:val="ListParagraph"/>
        <w:numPr>
          <w:ilvl w:val="0"/>
          <w:numId w:val="15"/>
        </w:numPr>
        <w:spacing w:after="200" w:line="276" w:lineRule="auto"/>
        <w:rPr>
          <w:sz w:val="22"/>
          <w:szCs w:val="22"/>
        </w:rPr>
      </w:pPr>
      <w:r w:rsidRPr="00B71A01">
        <w:rPr>
          <w:sz w:val="22"/>
          <w:szCs w:val="22"/>
        </w:rPr>
        <w:t xml:space="preserve">For each hospital, compute the payer-specific, </w:t>
      </w:r>
      <w:r w:rsidR="00714748" w:rsidRPr="00714748">
        <w:rPr>
          <w:sz w:val="22"/>
          <w:szCs w:val="22"/>
        </w:rPr>
        <w:t>product adjusted base service-weighted multiplier</w:t>
      </w:r>
      <w:r w:rsidR="0044505C">
        <w:rPr>
          <w:sz w:val="22"/>
          <w:szCs w:val="22"/>
        </w:rPr>
        <w:t>s</w:t>
      </w:r>
      <w:r w:rsidR="00714748">
        <w:rPr>
          <w:rStyle w:val="FootnoteReference"/>
          <w:sz w:val="22"/>
          <w:szCs w:val="22"/>
        </w:rPr>
        <w:footnoteReference w:id="8"/>
      </w:r>
      <w:r w:rsidRPr="00B71A01">
        <w:rPr>
          <w:sz w:val="22"/>
          <w:szCs w:val="22"/>
        </w:rPr>
        <w:t xml:space="preserve"> </w:t>
      </w:r>
      <w:r w:rsidR="00714748">
        <w:rPr>
          <w:sz w:val="22"/>
          <w:szCs w:val="22"/>
        </w:rPr>
        <w:t>- the</w:t>
      </w:r>
      <w:r w:rsidRPr="00B71A01">
        <w:rPr>
          <w:sz w:val="22"/>
          <w:szCs w:val="22"/>
        </w:rPr>
        <w:t xml:space="preserve"> result </w:t>
      </w:r>
      <w:r w:rsidR="00714748">
        <w:rPr>
          <w:sz w:val="22"/>
          <w:szCs w:val="22"/>
        </w:rPr>
        <w:t>will be known as the adjusted rate</w:t>
      </w:r>
      <w:r w:rsidR="0044505C">
        <w:rPr>
          <w:sz w:val="22"/>
          <w:szCs w:val="22"/>
        </w:rPr>
        <w:t>s</w:t>
      </w:r>
      <w:r w:rsidR="00281E3B">
        <w:rPr>
          <w:sz w:val="22"/>
          <w:szCs w:val="22"/>
        </w:rPr>
        <w:t xml:space="preserve"> </w:t>
      </w:r>
    </w:p>
    <w:p w:rsidR="00281E3B" w:rsidRPr="00B71A01" w:rsidRDefault="0044505C" w:rsidP="00DD1982">
      <w:pPr>
        <w:pStyle w:val="ListParagraph"/>
        <w:numPr>
          <w:ilvl w:val="0"/>
          <w:numId w:val="15"/>
        </w:numPr>
        <w:spacing w:after="200" w:line="276" w:lineRule="auto"/>
        <w:rPr>
          <w:sz w:val="22"/>
          <w:szCs w:val="22"/>
        </w:rPr>
      </w:pPr>
      <w:r>
        <w:rPr>
          <w:sz w:val="22"/>
          <w:szCs w:val="22"/>
        </w:rPr>
        <w:t>Calculate payer-specific outpatient RPs by dividing the payer</w:t>
      </w:r>
      <w:r w:rsidR="00281E3B">
        <w:rPr>
          <w:sz w:val="22"/>
          <w:szCs w:val="22"/>
        </w:rPr>
        <w:t xml:space="preserve">-specific adjusted rates by the </w:t>
      </w:r>
      <w:r>
        <w:rPr>
          <w:sz w:val="22"/>
          <w:szCs w:val="22"/>
        </w:rPr>
        <w:t xml:space="preserve">payer-specific </w:t>
      </w:r>
      <w:r w:rsidR="00281E3B">
        <w:rPr>
          <w:sz w:val="22"/>
          <w:szCs w:val="22"/>
        </w:rPr>
        <w:t>net</w:t>
      </w:r>
      <w:r>
        <w:rPr>
          <w:sz w:val="22"/>
          <w:szCs w:val="22"/>
        </w:rPr>
        <w:t>work average adjusted rate</w:t>
      </w:r>
    </w:p>
    <w:p w:rsidR="006821FE" w:rsidRPr="00B71A01" w:rsidRDefault="006821FE" w:rsidP="00DD1982">
      <w:pPr>
        <w:pStyle w:val="ListParagraph"/>
        <w:numPr>
          <w:ilvl w:val="0"/>
          <w:numId w:val="15"/>
        </w:numPr>
        <w:spacing w:after="200" w:line="276" w:lineRule="auto"/>
        <w:rPr>
          <w:sz w:val="22"/>
          <w:szCs w:val="22"/>
        </w:rPr>
      </w:pPr>
      <w:r w:rsidRPr="00B71A01">
        <w:rPr>
          <w:sz w:val="22"/>
          <w:szCs w:val="22"/>
        </w:rPr>
        <w:t xml:space="preserve">Combine </w:t>
      </w:r>
      <w:r w:rsidR="00281E3B">
        <w:rPr>
          <w:sz w:val="22"/>
          <w:szCs w:val="22"/>
        </w:rPr>
        <w:t xml:space="preserve">the payer-specific </w:t>
      </w:r>
      <w:r w:rsidR="0044505C">
        <w:rPr>
          <w:sz w:val="22"/>
          <w:szCs w:val="22"/>
        </w:rPr>
        <w:t>RPs</w:t>
      </w:r>
      <w:r w:rsidR="00281E3B">
        <w:rPr>
          <w:sz w:val="22"/>
          <w:szCs w:val="22"/>
        </w:rPr>
        <w:t xml:space="preserve"> into a single, cross</w:t>
      </w:r>
      <w:r w:rsidRPr="00B71A01">
        <w:rPr>
          <w:sz w:val="22"/>
          <w:szCs w:val="22"/>
        </w:rPr>
        <w:t xml:space="preserve">-payer </w:t>
      </w:r>
      <w:r w:rsidR="00281E3B">
        <w:rPr>
          <w:sz w:val="22"/>
          <w:szCs w:val="22"/>
        </w:rPr>
        <w:t xml:space="preserve">RP </w:t>
      </w:r>
      <w:r w:rsidRPr="00B71A01">
        <w:rPr>
          <w:sz w:val="22"/>
          <w:szCs w:val="22"/>
        </w:rPr>
        <w:t>for each hospital</w:t>
      </w:r>
      <w:r w:rsidR="00714748">
        <w:rPr>
          <w:sz w:val="22"/>
          <w:szCs w:val="22"/>
        </w:rPr>
        <w:t xml:space="preserve"> </w:t>
      </w:r>
      <w:r w:rsidR="00714748" w:rsidRPr="00B71A01">
        <w:rPr>
          <w:sz w:val="22"/>
          <w:szCs w:val="22"/>
        </w:rPr>
        <w:t xml:space="preserve">using the share of total </w:t>
      </w:r>
      <w:r w:rsidR="00714748">
        <w:rPr>
          <w:sz w:val="22"/>
          <w:szCs w:val="22"/>
        </w:rPr>
        <w:t xml:space="preserve">outpatient </w:t>
      </w:r>
      <w:r w:rsidR="00714748" w:rsidRPr="00B71A01">
        <w:rPr>
          <w:sz w:val="22"/>
          <w:szCs w:val="22"/>
        </w:rPr>
        <w:t xml:space="preserve">payments made by each payer to a given hospital </w:t>
      </w:r>
      <w:r w:rsidR="00714748">
        <w:rPr>
          <w:sz w:val="22"/>
          <w:szCs w:val="22"/>
        </w:rPr>
        <w:t xml:space="preserve">to weight each </w:t>
      </w:r>
      <w:r w:rsidR="0044505C">
        <w:rPr>
          <w:sz w:val="22"/>
          <w:szCs w:val="22"/>
        </w:rPr>
        <w:t>RP</w:t>
      </w:r>
    </w:p>
    <w:p w:rsidR="006821FE" w:rsidRPr="00B71A01" w:rsidRDefault="006821FE" w:rsidP="00DD1982">
      <w:pPr>
        <w:pStyle w:val="ListParagraph"/>
        <w:numPr>
          <w:ilvl w:val="0"/>
          <w:numId w:val="15"/>
        </w:numPr>
        <w:spacing w:after="200" w:line="276" w:lineRule="auto"/>
        <w:rPr>
          <w:sz w:val="22"/>
          <w:szCs w:val="22"/>
        </w:rPr>
      </w:pPr>
      <w:r w:rsidRPr="00B71A01">
        <w:rPr>
          <w:sz w:val="22"/>
          <w:szCs w:val="22"/>
        </w:rPr>
        <w:t xml:space="preserve">Compute </w:t>
      </w:r>
      <w:r w:rsidR="00714748">
        <w:rPr>
          <w:sz w:val="22"/>
          <w:szCs w:val="22"/>
        </w:rPr>
        <w:t xml:space="preserve">the </w:t>
      </w:r>
      <w:r w:rsidRPr="00B71A01">
        <w:rPr>
          <w:sz w:val="22"/>
          <w:szCs w:val="22"/>
        </w:rPr>
        <w:t xml:space="preserve">statewide average </w:t>
      </w:r>
      <w:r w:rsidR="00281E3B">
        <w:rPr>
          <w:sz w:val="22"/>
          <w:szCs w:val="22"/>
        </w:rPr>
        <w:t xml:space="preserve">outpatient </w:t>
      </w:r>
      <w:r w:rsidR="0044505C">
        <w:rPr>
          <w:sz w:val="22"/>
          <w:szCs w:val="22"/>
        </w:rPr>
        <w:t xml:space="preserve">cross-payer </w:t>
      </w:r>
      <w:r w:rsidR="00281E3B">
        <w:rPr>
          <w:sz w:val="22"/>
          <w:szCs w:val="22"/>
        </w:rPr>
        <w:t>RP</w:t>
      </w:r>
      <w:r w:rsidRPr="00B71A01">
        <w:rPr>
          <w:sz w:val="22"/>
          <w:szCs w:val="22"/>
        </w:rPr>
        <w:t xml:space="preserve"> as the</w:t>
      </w:r>
      <w:r w:rsidR="00281E3B">
        <w:rPr>
          <w:sz w:val="22"/>
          <w:szCs w:val="22"/>
        </w:rPr>
        <w:t xml:space="preserve"> mean of the hospital-specific cross</w:t>
      </w:r>
      <w:r w:rsidRPr="00B71A01">
        <w:rPr>
          <w:sz w:val="22"/>
          <w:szCs w:val="22"/>
        </w:rPr>
        <w:t xml:space="preserve">-payer </w:t>
      </w:r>
      <w:r w:rsidR="00281E3B">
        <w:rPr>
          <w:sz w:val="22"/>
          <w:szCs w:val="22"/>
        </w:rPr>
        <w:t>RP</w:t>
      </w:r>
      <w:r w:rsidRPr="00B71A01">
        <w:rPr>
          <w:sz w:val="22"/>
          <w:szCs w:val="22"/>
        </w:rPr>
        <w:t xml:space="preserve"> calculated in step </w:t>
      </w:r>
      <w:r w:rsidR="00714748">
        <w:rPr>
          <w:sz w:val="22"/>
          <w:szCs w:val="22"/>
        </w:rPr>
        <w:t>1</w:t>
      </w:r>
      <w:r w:rsidR="005844DB">
        <w:rPr>
          <w:sz w:val="22"/>
          <w:szCs w:val="22"/>
        </w:rPr>
        <w:t>(</w:t>
      </w:r>
      <w:r w:rsidR="0044505C">
        <w:rPr>
          <w:sz w:val="22"/>
          <w:szCs w:val="22"/>
        </w:rPr>
        <w:t>g</w:t>
      </w:r>
      <w:r w:rsidR="005844DB">
        <w:rPr>
          <w:sz w:val="22"/>
          <w:szCs w:val="22"/>
        </w:rPr>
        <w:t>)</w:t>
      </w:r>
    </w:p>
    <w:p w:rsidR="006821FE" w:rsidRPr="00B71A01" w:rsidRDefault="006821FE" w:rsidP="00DD1982">
      <w:pPr>
        <w:pStyle w:val="ListParagraph"/>
        <w:numPr>
          <w:ilvl w:val="0"/>
          <w:numId w:val="15"/>
        </w:numPr>
        <w:spacing w:after="200" w:line="276" w:lineRule="auto"/>
        <w:rPr>
          <w:sz w:val="22"/>
          <w:szCs w:val="22"/>
        </w:rPr>
      </w:pPr>
      <w:r w:rsidRPr="00B71A01">
        <w:rPr>
          <w:sz w:val="22"/>
          <w:szCs w:val="22"/>
        </w:rPr>
        <w:t xml:space="preserve">Calculate </w:t>
      </w:r>
      <w:r w:rsidR="00714748">
        <w:rPr>
          <w:sz w:val="22"/>
          <w:szCs w:val="22"/>
        </w:rPr>
        <w:t xml:space="preserve">the </w:t>
      </w:r>
      <w:r w:rsidR="00281E3B">
        <w:rPr>
          <w:sz w:val="22"/>
          <w:szCs w:val="22"/>
        </w:rPr>
        <w:t>cross</w:t>
      </w:r>
      <w:r w:rsidRPr="00B71A01">
        <w:rPr>
          <w:sz w:val="22"/>
          <w:szCs w:val="22"/>
        </w:rPr>
        <w:t xml:space="preserve">-payer outpatient </w:t>
      </w:r>
      <w:r w:rsidR="00521921">
        <w:rPr>
          <w:sz w:val="22"/>
          <w:szCs w:val="22"/>
        </w:rPr>
        <w:t>S</w:t>
      </w:r>
      <w:r w:rsidR="00E2721C">
        <w:rPr>
          <w:sz w:val="22"/>
          <w:szCs w:val="22"/>
        </w:rPr>
        <w:t>-</w:t>
      </w:r>
      <w:r w:rsidRPr="00B71A01">
        <w:rPr>
          <w:sz w:val="22"/>
          <w:szCs w:val="22"/>
        </w:rPr>
        <w:t>RP</w:t>
      </w:r>
      <w:r w:rsidR="00714748">
        <w:rPr>
          <w:sz w:val="22"/>
          <w:szCs w:val="22"/>
        </w:rPr>
        <w:t xml:space="preserve"> for each hospital</w:t>
      </w:r>
      <w:r w:rsidRPr="00B71A01">
        <w:rPr>
          <w:sz w:val="22"/>
          <w:szCs w:val="22"/>
        </w:rPr>
        <w:t xml:space="preserve"> by dividing the hospital-specific all-payer adjusted rates (</w:t>
      </w:r>
      <w:r w:rsidR="005844DB">
        <w:rPr>
          <w:sz w:val="22"/>
          <w:szCs w:val="22"/>
        </w:rPr>
        <w:t xml:space="preserve">step </w:t>
      </w:r>
      <w:r w:rsidR="00714748">
        <w:rPr>
          <w:sz w:val="22"/>
          <w:szCs w:val="22"/>
        </w:rPr>
        <w:t>1</w:t>
      </w:r>
      <w:r w:rsidR="005844DB">
        <w:rPr>
          <w:sz w:val="22"/>
          <w:szCs w:val="22"/>
        </w:rPr>
        <w:t>(</w:t>
      </w:r>
      <w:r w:rsidR="0044505C">
        <w:rPr>
          <w:sz w:val="22"/>
          <w:szCs w:val="22"/>
        </w:rPr>
        <w:t>g</w:t>
      </w:r>
      <w:r w:rsidR="005844DB">
        <w:rPr>
          <w:sz w:val="22"/>
          <w:szCs w:val="22"/>
        </w:rPr>
        <w:t>)</w:t>
      </w:r>
      <w:r w:rsidRPr="00B71A01">
        <w:rPr>
          <w:sz w:val="22"/>
          <w:szCs w:val="22"/>
        </w:rPr>
        <w:t>) by the statewide average (</w:t>
      </w:r>
      <w:r w:rsidR="005844DB">
        <w:rPr>
          <w:sz w:val="22"/>
          <w:szCs w:val="22"/>
        </w:rPr>
        <w:t xml:space="preserve">step </w:t>
      </w:r>
      <w:r w:rsidR="00714748">
        <w:rPr>
          <w:sz w:val="22"/>
          <w:szCs w:val="22"/>
        </w:rPr>
        <w:t>1</w:t>
      </w:r>
      <w:r w:rsidR="005844DB">
        <w:rPr>
          <w:sz w:val="22"/>
          <w:szCs w:val="22"/>
        </w:rPr>
        <w:t>(</w:t>
      </w:r>
      <w:r w:rsidR="0044505C">
        <w:rPr>
          <w:sz w:val="22"/>
          <w:szCs w:val="22"/>
        </w:rPr>
        <w:t>h</w:t>
      </w:r>
      <w:r w:rsidR="005844DB">
        <w:rPr>
          <w:sz w:val="22"/>
          <w:szCs w:val="22"/>
        </w:rPr>
        <w:t>)</w:t>
      </w:r>
      <w:r w:rsidR="00714748">
        <w:rPr>
          <w:sz w:val="22"/>
          <w:szCs w:val="22"/>
        </w:rPr>
        <w:t>)</w:t>
      </w:r>
    </w:p>
    <w:p w:rsidR="006821FE" w:rsidRPr="00B71A01" w:rsidRDefault="006821FE" w:rsidP="00DD1982">
      <w:pPr>
        <w:spacing w:line="276" w:lineRule="auto"/>
        <w:rPr>
          <w:b/>
          <w:color w:val="E36C0A" w:themeColor="accent6" w:themeShade="BF"/>
          <w:sz w:val="22"/>
          <w:szCs w:val="22"/>
        </w:rPr>
      </w:pPr>
      <w:r w:rsidRPr="00B71A01">
        <w:rPr>
          <w:b/>
          <w:color w:val="E36C0A" w:themeColor="accent6" w:themeShade="BF"/>
          <w:sz w:val="22"/>
          <w:szCs w:val="22"/>
        </w:rPr>
        <w:t xml:space="preserve">Step 2: Calculate Blended </w:t>
      </w:r>
      <w:r w:rsidR="00070B68">
        <w:rPr>
          <w:b/>
          <w:color w:val="E36C0A" w:themeColor="accent6" w:themeShade="BF"/>
          <w:sz w:val="22"/>
          <w:szCs w:val="22"/>
        </w:rPr>
        <w:t xml:space="preserve">Cross </w:t>
      </w:r>
      <w:r w:rsidRPr="00B71A01">
        <w:rPr>
          <w:b/>
          <w:color w:val="E36C0A" w:themeColor="accent6" w:themeShade="BF"/>
          <w:sz w:val="22"/>
          <w:szCs w:val="22"/>
        </w:rPr>
        <w:t xml:space="preserve">-Payer </w:t>
      </w:r>
      <w:r w:rsidR="00521921">
        <w:rPr>
          <w:b/>
          <w:color w:val="E36C0A" w:themeColor="accent6" w:themeShade="BF"/>
          <w:sz w:val="22"/>
          <w:szCs w:val="22"/>
        </w:rPr>
        <w:t>RPs</w:t>
      </w:r>
      <w:r w:rsidR="00070B68">
        <w:rPr>
          <w:b/>
          <w:color w:val="E36C0A" w:themeColor="accent6" w:themeShade="BF"/>
          <w:sz w:val="22"/>
          <w:szCs w:val="22"/>
        </w:rPr>
        <w:t xml:space="preserve"> </w:t>
      </w:r>
    </w:p>
    <w:p w:rsidR="006821FE" w:rsidRPr="006821FE" w:rsidRDefault="006821FE" w:rsidP="00DD1982">
      <w:pPr>
        <w:spacing w:line="276" w:lineRule="auto"/>
        <w:rPr>
          <w:color w:val="FF0000"/>
          <w:sz w:val="22"/>
          <w:szCs w:val="22"/>
        </w:rPr>
      </w:pPr>
    </w:p>
    <w:p w:rsidR="006821FE" w:rsidRPr="00B71A01" w:rsidRDefault="006821FE" w:rsidP="00DD1982">
      <w:pPr>
        <w:spacing w:line="276" w:lineRule="auto"/>
        <w:rPr>
          <w:i/>
          <w:sz w:val="22"/>
          <w:szCs w:val="22"/>
        </w:rPr>
      </w:pPr>
      <w:r w:rsidRPr="00B71A01">
        <w:rPr>
          <w:i/>
          <w:sz w:val="22"/>
          <w:szCs w:val="22"/>
        </w:rPr>
        <w:t>Blended</w:t>
      </w:r>
      <w:r w:rsidR="00C63879">
        <w:rPr>
          <w:i/>
          <w:sz w:val="22"/>
          <w:szCs w:val="22"/>
        </w:rPr>
        <w:t xml:space="preserve"> (Inpatient and Outpatient combined)</w:t>
      </w:r>
      <w:r w:rsidRPr="00B71A01">
        <w:rPr>
          <w:i/>
          <w:sz w:val="22"/>
          <w:szCs w:val="22"/>
        </w:rPr>
        <w:t>:</w:t>
      </w:r>
    </w:p>
    <w:p w:rsidR="006821FE" w:rsidRPr="00B71A01" w:rsidRDefault="006821FE" w:rsidP="00DD1982">
      <w:pPr>
        <w:pStyle w:val="ListParagraph"/>
        <w:numPr>
          <w:ilvl w:val="0"/>
          <w:numId w:val="17"/>
        </w:numPr>
        <w:spacing w:after="200" w:line="276" w:lineRule="auto"/>
        <w:rPr>
          <w:sz w:val="22"/>
          <w:szCs w:val="22"/>
        </w:rPr>
      </w:pPr>
      <w:r w:rsidRPr="00B71A01">
        <w:rPr>
          <w:sz w:val="22"/>
          <w:szCs w:val="22"/>
        </w:rPr>
        <w:t xml:space="preserve">Calculate </w:t>
      </w:r>
      <w:r w:rsidR="00F043BC">
        <w:rPr>
          <w:sz w:val="22"/>
          <w:szCs w:val="22"/>
        </w:rPr>
        <w:t>the s</w:t>
      </w:r>
      <w:r w:rsidR="00C63879">
        <w:rPr>
          <w:sz w:val="22"/>
          <w:szCs w:val="22"/>
        </w:rPr>
        <w:t xml:space="preserve">hare of </w:t>
      </w:r>
      <w:r w:rsidR="0044505C">
        <w:rPr>
          <w:sz w:val="22"/>
          <w:szCs w:val="22"/>
        </w:rPr>
        <w:t>cross-</w:t>
      </w:r>
      <w:r w:rsidR="00024E06">
        <w:rPr>
          <w:sz w:val="22"/>
          <w:szCs w:val="22"/>
        </w:rPr>
        <w:t xml:space="preserve">payer </w:t>
      </w:r>
      <w:r w:rsidR="00C63879">
        <w:rPr>
          <w:sz w:val="22"/>
          <w:szCs w:val="22"/>
        </w:rPr>
        <w:t>total payments accounting</w:t>
      </w:r>
      <w:r w:rsidR="00F043BC">
        <w:rPr>
          <w:sz w:val="22"/>
          <w:szCs w:val="22"/>
        </w:rPr>
        <w:t xml:space="preserve"> for</w:t>
      </w:r>
      <w:r w:rsidRPr="00B71A01">
        <w:rPr>
          <w:sz w:val="22"/>
          <w:szCs w:val="22"/>
        </w:rPr>
        <w:t xml:space="preserve"> inpatient and outpatient </w:t>
      </w:r>
      <w:r w:rsidR="00C63879">
        <w:rPr>
          <w:sz w:val="22"/>
          <w:szCs w:val="22"/>
        </w:rPr>
        <w:t>services</w:t>
      </w:r>
      <w:r w:rsidR="00F043BC">
        <w:rPr>
          <w:sz w:val="22"/>
          <w:szCs w:val="22"/>
        </w:rPr>
        <w:t xml:space="preserve"> for each hospital</w:t>
      </w:r>
      <w:r w:rsidR="00C63879">
        <w:rPr>
          <w:sz w:val="22"/>
          <w:szCs w:val="22"/>
        </w:rPr>
        <w:t xml:space="preserve"> </w:t>
      </w:r>
    </w:p>
    <w:p w:rsidR="005E0BE8" w:rsidRDefault="005E0BE8" w:rsidP="005E0BE8">
      <w:pPr>
        <w:pStyle w:val="ListParagraph"/>
        <w:numPr>
          <w:ilvl w:val="0"/>
          <w:numId w:val="17"/>
        </w:numPr>
        <w:spacing w:after="200" w:line="276" w:lineRule="auto"/>
        <w:rPr>
          <w:sz w:val="22"/>
          <w:szCs w:val="22"/>
        </w:rPr>
      </w:pPr>
      <w:r w:rsidRPr="005E0BE8">
        <w:rPr>
          <w:sz w:val="22"/>
          <w:szCs w:val="22"/>
        </w:rPr>
        <w:lastRenderedPageBreak/>
        <w:t>Using the hospital-specific inpatient and outpatient payment shares calculated in step 2</w:t>
      </w:r>
      <w:r w:rsidR="005844DB">
        <w:rPr>
          <w:sz w:val="22"/>
          <w:szCs w:val="22"/>
        </w:rPr>
        <w:t>(</w:t>
      </w:r>
      <w:r w:rsidRPr="005E0BE8">
        <w:rPr>
          <w:sz w:val="22"/>
          <w:szCs w:val="22"/>
        </w:rPr>
        <w:t>a</w:t>
      </w:r>
      <w:r w:rsidR="005844DB">
        <w:rPr>
          <w:sz w:val="22"/>
          <w:szCs w:val="22"/>
        </w:rPr>
        <w:t>)</w:t>
      </w:r>
      <w:r w:rsidRPr="005E0BE8">
        <w:rPr>
          <w:sz w:val="22"/>
          <w:szCs w:val="22"/>
        </w:rPr>
        <w:t xml:space="preserve"> as weights, combine each hospital’s all-payer inpatient and outpatient S</w:t>
      </w:r>
      <w:r w:rsidR="00E2721C">
        <w:rPr>
          <w:sz w:val="22"/>
          <w:szCs w:val="22"/>
        </w:rPr>
        <w:t>-</w:t>
      </w:r>
      <w:r w:rsidRPr="005E0BE8">
        <w:rPr>
          <w:sz w:val="22"/>
          <w:szCs w:val="22"/>
        </w:rPr>
        <w:t>RP values (</w:t>
      </w:r>
      <w:r w:rsidR="005844DB">
        <w:rPr>
          <w:sz w:val="22"/>
          <w:szCs w:val="22"/>
        </w:rPr>
        <w:t xml:space="preserve">steps </w:t>
      </w:r>
      <w:r w:rsidRPr="005E0BE8">
        <w:rPr>
          <w:sz w:val="22"/>
          <w:szCs w:val="22"/>
        </w:rPr>
        <w:t>1</w:t>
      </w:r>
      <w:r w:rsidR="005844DB">
        <w:rPr>
          <w:sz w:val="22"/>
          <w:szCs w:val="22"/>
        </w:rPr>
        <w:t>(</w:t>
      </w:r>
      <w:r w:rsidRPr="005E0BE8">
        <w:rPr>
          <w:sz w:val="22"/>
          <w:szCs w:val="22"/>
        </w:rPr>
        <w:t>d</w:t>
      </w:r>
      <w:r w:rsidR="005844DB">
        <w:rPr>
          <w:sz w:val="22"/>
          <w:szCs w:val="22"/>
        </w:rPr>
        <w:t>)</w:t>
      </w:r>
      <w:r w:rsidRPr="005E0BE8">
        <w:rPr>
          <w:sz w:val="22"/>
          <w:szCs w:val="22"/>
        </w:rPr>
        <w:t xml:space="preserve"> and 1</w:t>
      </w:r>
      <w:r w:rsidR="005844DB">
        <w:rPr>
          <w:sz w:val="22"/>
          <w:szCs w:val="22"/>
        </w:rPr>
        <w:t>(</w:t>
      </w:r>
      <w:proofErr w:type="spellStart"/>
      <w:r w:rsidRPr="005E0BE8">
        <w:rPr>
          <w:sz w:val="22"/>
          <w:szCs w:val="22"/>
        </w:rPr>
        <w:t>i</w:t>
      </w:r>
      <w:proofErr w:type="spellEnd"/>
      <w:r w:rsidR="005844DB">
        <w:rPr>
          <w:sz w:val="22"/>
          <w:szCs w:val="22"/>
        </w:rPr>
        <w:t>)</w:t>
      </w:r>
      <w:r w:rsidRPr="005E0BE8">
        <w:rPr>
          <w:sz w:val="22"/>
          <w:szCs w:val="22"/>
        </w:rPr>
        <w:t>)</w:t>
      </w:r>
      <w:r>
        <w:rPr>
          <w:sz w:val="22"/>
          <w:szCs w:val="22"/>
        </w:rPr>
        <w:t xml:space="preserve"> – these amounts will be known as the interim blended cross-payer S</w:t>
      </w:r>
      <w:r w:rsidR="00E2721C">
        <w:rPr>
          <w:sz w:val="22"/>
          <w:szCs w:val="22"/>
        </w:rPr>
        <w:t>-</w:t>
      </w:r>
      <w:r>
        <w:rPr>
          <w:sz w:val="22"/>
          <w:szCs w:val="22"/>
        </w:rPr>
        <w:t>RPs</w:t>
      </w:r>
    </w:p>
    <w:p w:rsidR="005E0BE8" w:rsidRDefault="005E0BE8" w:rsidP="005E0BE8">
      <w:pPr>
        <w:pStyle w:val="ListParagraph"/>
        <w:numPr>
          <w:ilvl w:val="0"/>
          <w:numId w:val="17"/>
        </w:numPr>
        <w:spacing w:after="200" w:line="276" w:lineRule="auto"/>
        <w:rPr>
          <w:sz w:val="22"/>
          <w:szCs w:val="22"/>
        </w:rPr>
      </w:pPr>
      <w:r w:rsidRPr="005E0BE8">
        <w:rPr>
          <w:sz w:val="22"/>
          <w:szCs w:val="22"/>
        </w:rPr>
        <w:t>Compute the statewide average of the interim blended cross-payer S</w:t>
      </w:r>
      <w:r w:rsidR="00E2721C">
        <w:rPr>
          <w:sz w:val="22"/>
          <w:szCs w:val="22"/>
        </w:rPr>
        <w:t>-</w:t>
      </w:r>
      <w:r w:rsidRPr="005E0BE8">
        <w:rPr>
          <w:sz w:val="22"/>
          <w:szCs w:val="22"/>
        </w:rPr>
        <w:t>RP</w:t>
      </w:r>
      <w:r>
        <w:rPr>
          <w:sz w:val="22"/>
          <w:szCs w:val="22"/>
        </w:rPr>
        <w:t>s</w:t>
      </w:r>
      <w:r w:rsidRPr="005E0BE8">
        <w:rPr>
          <w:sz w:val="22"/>
          <w:szCs w:val="22"/>
        </w:rPr>
        <w:t xml:space="preserve"> as the mean of the hospital-specific interim blended cross-payer S</w:t>
      </w:r>
      <w:r w:rsidR="00E2721C">
        <w:rPr>
          <w:sz w:val="22"/>
          <w:szCs w:val="22"/>
        </w:rPr>
        <w:t>-</w:t>
      </w:r>
      <w:r w:rsidRPr="005E0BE8">
        <w:rPr>
          <w:sz w:val="22"/>
          <w:szCs w:val="22"/>
        </w:rPr>
        <w:t>RP calculated in step 2</w:t>
      </w:r>
      <w:r w:rsidR="005844DB">
        <w:rPr>
          <w:sz w:val="22"/>
          <w:szCs w:val="22"/>
        </w:rPr>
        <w:t>(</w:t>
      </w:r>
      <w:r w:rsidRPr="005E0BE8">
        <w:rPr>
          <w:sz w:val="22"/>
          <w:szCs w:val="22"/>
        </w:rPr>
        <w:t>b</w:t>
      </w:r>
      <w:r w:rsidR="005844DB">
        <w:rPr>
          <w:sz w:val="22"/>
          <w:szCs w:val="22"/>
        </w:rPr>
        <w:t>)</w:t>
      </w:r>
    </w:p>
    <w:p w:rsidR="00C06274" w:rsidRPr="00B71A01" w:rsidRDefault="005E0BE8" w:rsidP="005E0BE8">
      <w:pPr>
        <w:pStyle w:val="ListParagraph"/>
        <w:numPr>
          <w:ilvl w:val="0"/>
          <w:numId w:val="17"/>
        </w:numPr>
        <w:spacing w:after="200" w:line="276" w:lineRule="auto"/>
        <w:rPr>
          <w:sz w:val="22"/>
          <w:szCs w:val="22"/>
        </w:rPr>
      </w:pPr>
      <w:r w:rsidRPr="005E0BE8">
        <w:rPr>
          <w:sz w:val="22"/>
          <w:szCs w:val="22"/>
        </w:rPr>
        <w:t>Calculate the final blended cross-payer S</w:t>
      </w:r>
      <w:r w:rsidR="00E2721C">
        <w:rPr>
          <w:sz w:val="22"/>
          <w:szCs w:val="22"/>
        </w:rPr>
        <w:t>-</w:t>
      </w:r>
      <w:r w:rsidRPr="005E0BE8">
        <w:rPr>
          <w:sz w:val="22"/>
          <w:szCs w:val="22"/>
        </w:rPr>
        <w:t>RP for each hospital by dividing the hospital-specific interim blended cross-payer S</w:t>
      </w:r>
      <w:r w:rsidR="00E2721C">
        <w:rPr>
          <w:sz w:val="22"/>
          <w:szCs w:val="22"/>
        </w:rPr>
        <w:t>-</w:t>
      </w:r>
      <w:r w:rsidRPr="005E0BE8">
        <w:rPr>
          <w:sz w:val="22"/>
          <w:szCs w:val="22"/>
        </w:rPr>
        <w:t>RP (</w:t>
      </w:r>
      <w:r w:rsidR="005844DB">
        <w:rPr>
          <w:sz w:val="22"/>
          <w:szCs w:val="22"/>
        </w:rPr>
        <w:t xml:space="preserve">step </w:t>
      </w:r>
      <w:r w:rsidRPr="005E0BE8">
        <w:rPr>
          <w:sz w:val="22"/>
          <w:szCs w:val="22"/>
        </w:rPr>
        <w:t>2</w:t>
      </w:r>
      <w:r w:rsidR="005844DB">
        <w:rPr>
          <w:sz w:val="22"/>
          <w:szCs w:val="22"/>
        </w:rPr>
        <w:t>(</w:t>
      </w:r>
      <w:r w:rsidRPr="005E0BE8">
        <w:rPr>
          <w:sz w:val="22"/>
          <w:szCs w:val="22"/>
        </w:rPr>
        <w:t>b</w:t>
      </w:r>
      <w:r w:rsidR="005844DB">
        <w:rPr>
          <w:sz w:val="22"/>
          <w:szCs w:val="22"/>
        </w:rPr>
        <w:t>)</w:t>
      </w:r>
      <w:r w:rsidRPr="005E0BE8">
        <w:rPr>
          <w:sz w:val="22"/>
          <w:szCs w:val="22"/>
        </w:rPr>
        <w:t>) by the statewide average (</w:t>
      </w:r>
      <w:r w:rsidR="005844DB">
        <w:rPr>
          <w:sz w:val="22"/>
          <w:szCs w:val="22"/>
        </w:rPr>
        <w:t xml:space="preserve">step </w:t>
      </w:r>
      <w:r w:rsidRPr="005E0BE8">
        <w:rPr>
          <w:sz w:val="22"/>
          <w:szCs w:val="22"/>
        </w:rPr>
        <w:t>2</w:t>
      </w:r>
      <w:r w:rsidR="005844DB">
        <w:rPr>
          <w:sz w:val="22"/>
          <w:szCs w:val="22"/>
        </w:rPr>
        <w:t>(</w:t>
      </w:r>
      <w:r w:rsidRPr="005E0BE8">
        <w:rPr>
          <w:sz w:val="22"/>
          <w:szCs w:val="22"/>
        </w:rPr>
        <w:t>c</w:t>
      </w:r>
      <w:r w:rsidR="005844DB">
        <w:rPr>
          <w:sz w:val="22"/>
          <w:szCs w:val="22"/>
        </w:rPr>
        <w:t>)</w:t>
      </w:r>
      <w:r w:rsidRPr="005E0BE8">
        <w:rPr>
          <w:sz w:val="22"/>
          <w:szCs w:val="22"/>
        </w:rPr>
        <w:t>)</w:t>
      </w:r>
    </w:p>
    <w:p w:rsidR="006821FE" w:rsidRPr="00B71A01" w:rsidRDefault="006821FE" w:rsidP="00DD1982">
      <w:pPr>
        <w:spacing w:line="276" w:lineRule="auto"/>
        <w:rPr>
          <w:b/>
          <w:color w:val="E36C0A" w:themeColor="accent6" w:themeShade="BF"/>
          <w:sz w:val="22"/>
          <w:szCs w:val="22"/>
        </w:rPr>
      </w:pPr>
      <w:r w:rsidRPr="00B71A01">
        <w:rPr>
          <w:b/>
          <w:color w:val="E36C0A" w:themeColor="accent6" w:themeShade="BF"/>
          <w:sz w:val="22"/>
          <w:szCs w:val="22"/>
        </w:rPr>
        <w:t xml:space="preserve">Step 3: Calculate </w:t>
      </w:r>
      <w:r w:rsidR="00B71A01">
        <w:rPr>
          <w:b/>
          <w:color w:val="E36C0A" w:themeColor="accent6" w:themeShade="BF"/>
          <w:sz w:val="22"/>
          <w:szCs w:val="22"/>
        </w:rPr>
        <w:t xml:space="preserve">Median </w:t>
      </w:r>
      <w:r w:rsidR="00521921">
        <w:rPr>
          <w:b/>
          <w:color w:val="E36C0A" w:themeColor="accent6" w:themeShade="BF"/>
          <w:sz w:val="22"/>
          <w:szCs w:val="22"/>
        </w:rPr>
        <w:t>S</w:t>
      </w:r>
      <w:r w:rsidR="00E2721C">
        <w:rPr>
          <w:b/>
          <w:color w:val="E36C0A" w:themeColor="accent6" w:themeShade="BF"/>
          <w:sz w:val="22"/>
          <w:szCs w:val="22"/>
        </w:rPr>
        <w:t>-</w:t>
      </w:r>
      <w:r w:rsidR="00521921">
        <w:rPr>
          <w:b/>
          <w:color w:val="E36C0A" w:themeColor="accent6" w:themeShade="BF"/>
          <w:sz w:val="22"/>
          <w:szCs w:val="22"/>
        </w:rPr>
        <w:t>RP</w:t>
      </w:r>
    </w:p>
    <w:p w:rsidR="006821FE" w:rsidRPr="006821FE" w:rsidRDefault="006821FE" w:rsidP="00DD1982">
      <w:pPr>
        <w:spacing w:line="276" w:lineRule="auto"/>
        <w:rPr>
          <w:color w:val="FF0000"/>
          <w:sz w:val="22"/>
          <w:szCs w:val="22"/>
        </w:rPr>
      </w:pPr>
    </w:p>
    <w:p w:rsidR="006821FE" w:rsidRPr="006D2A47" w:rsidRDefault="006D2A47" w:rsidP="00DD1982">
      <w:pPr>
        <w:spacing w:line="276" w:lineRule="auto"/>
        <w:rPr>
          <w:i/>
          <w:sz w:val="22"/>
          <w:szCs w:val="22"/>
        </w:rPr>
      </w:pPr>
      <w:r w:rsidRPr="006D2A47">
        <w:rPr>
          <w:i/>
          <w:sz w:val="22"/>
          <w:szCs w:val="22"/>
        </w:rPr>
        <w:t xml:space="preserve">Median </w:t>
      </w:r>
      <w:r w:rsidR="00535CF5">
        <w:rPr>
          <w:i/>
          <w:sz w:val="22"/>
          <w:szCs w:val="22"/>
        </w:rPr>
        <w:t>S</w:t>
      </w:r>
      <w:r w:rsidR="00E2721C">
        <w:rPr>
          <w:i/>
          <w:sz w:val="22"/>
          <w:szCs w:val="22"/>
        </w:rPr>
        <w:t>-</w:t>
      </w:r>
      <w:r w:rsidR="006821FE" w:rsidRPr="006D2A47">
        <w:rPr>
          <w:i/>
          <w:sz w:val="22"/>
          <w:szCs w:val="22"/>
        </w:rPr>
        <w:t xml:space="preserve">RP </w:t>
      </w:r>
    </w:p>
    <w:p w:rsidR="006821FE" w:rsidRPr="006D2A47" w:rsidRDefault="006D2A47" w:rsidP="00DD1982">
      <w:pPr>
        <w:pStyle w:val="ListParagraph"/>
        <w:numPr>
          <w:ilvl w:val="0"/>
          <w:numId w:val="18"/>
        </w:numPr>
        <w:spacing w:after="200" w:line="276" w:lineRule="auto"/>
        <w:rPr>
          <w:sz w:val="22"/>
          <w:szCs w:val="22"/>
        </w:rPr>
      </w:pPr>
      <w:r w:rsidRPr="006D2A47">
        <w:rPr>
          <w:sz w:val="22"/>
          <w:szCs w:val="22"/>
        </w:rPr>
        <w:t>Compute the median of the b</w:t>
      </w:r>
      <w:r w:rsidR="006821FE" w:rsidRPr="006D2A47">
        <w:rPr>
          <w:sz w:val="22"/>
          <w:szCs w:val="22"/>
        </w:rPr>
        <w:t xml:space="preserve">lended </w:t>
      </w:r>
      <w:r w:rsidR="00024E06">
        <w:rPr>
          <w:sz w:val="22"/>
          <w:szCs w:val="22"/>
        </w:rPr>
        <w:t>cross</w:t>
      </w:r>
      <w:r w:rsidR="00521921">
        <w:rPr>
          <w:sz w:val="22"/>
          <w:szCs w:val="22"/>
        </w:rPr>
        <w:t>-</w:t>
      </w:r>
      <w:r w:rsidR="00024E06">
        <w:rPr>
          <w:sz w:val="22"/>
          <w:szCs w:val="22"/>
        </w:rPr>
        <w:t>payer</w:t>
      </w:r>
      <w:r w:rsidR="006821FE" w:rsidRPr="006D2A47">
        <w:rPr>
          <w:sz w:val="22"/>
          <w:szCs w:val="22"/>
        </w:rPr>
        <w:t xml:space="preserve"> </w:t>
      </w:r>
      <w:r w:rsidR="00521921">
        <w:rPr>
          <w:sz w:val="22"/>
          <w:szCs w:val="22"/>
        </w:rPr>
        <w:t>S</w:t>
      </w:r>
      <w:r w:rsidR="00E2721C">
        <w:rPr>
          <w:sz w:val="22"/>
          <w:szCs w:val="22"/>
        </w:rPr>
        <w:t>-</w:t>
      </w:r>
      <w:r w:rsidR="006821FE" w:rsidRPr="006D2A47">
        <w:rPr>
          <w:sz w:val="22"/>
          <w:szCs w:val="22"/>
        </w:rPr>
        <w:t xml:space="preserve">RP values </w:t>
      </w:r>
      <w:r w:rsidRPr="006D2A47">
        <w:rPr>
          <w:sz w:val="22"/>
          <w:szCs w:val="22"/>
        </w:rPr>
        <w:t xml:space="preserve">computed </w:t>
      </w:r>
      <w:r w:rsidR="00F043BC">
        <w:rPr>
          <w:sz w:val="22"/>
          <w:szCs w:val="22"/>
        </w:rPr>
        <w:t>in step 2</w:t>
      </w:r>
      <w:r w:rsidR="005844DB">
        <w:rPr>
          <w:sz w:val="22"/>
          <w:szCs w:val="22"/>
        </w:rPr>
        <w:t>(</w:t>
      </w:r>
      <w:r w:rsidR="00F043BC">
        <w:rPr>
          <w:sz w:val="22"/>
          <w:szCs w:val="22"/>
        </w:rPr>
        <w:t>b</w:t>
      </w:r>
      <w:r w:rsidR="005844DB">
        <w:rPr>
          <w:sz w:val="22"/>
          <w:szCs w:val="22"/>
        </w:rPr>
        <w:t>)</w:t>
      </w:r>
      <w:r w:rsidR="00F043BC">
        <w:rPr>
          <w:sz w:val="22"/>
          <w:szCs w:val="22"/>
        </w:rPr>
        <w:t xml:space="preserve"> </w:t>
      </w:r>
      <w:r w:rsidRPr="006D2A47">
        <w:rPr>
          <w:sz w:val="22"/>
          <w:szCs w:val="22"/>
        </w:rPr>
        <w:t>above -</w:t>
      </w:r>
      <w:r w:rsidR="006821FE" w:rsidRPr="006D2A47">
        <w:rPr>
          <w:sz w:val="22"/>
          <w:szCs w:val="22"/>
        </w:rPr>
        <w:t xml:space="preserve"> </w:t>
      </w:r>
      <w:r w:rsidRPr="006D2A47">
        <w:rPr>
          <w:sz w:val="22"/>
          <w:szCs w:val="22"/>
        </w:rPr>
        <w:t>t</w:t>
      </w:r>
      <w:r w:rsidR="006821FE" w:rsidRPr="006D2A47">
        <w:rPr>
          <w:sz w:val="22"/>
          <w:szCs w:val="22"/>
        </w:rPr>
        <w:t>his is</w:t>
      </w:r>
      <w:r w:rsidRPr="006D2A47">
        <w:rPr>
          <w:sz w:val="22"/>
          <w:szCs w:val="22"/>
        </w:rPr>
        <w:t xml:space="preserve"> the median</w:t>
      </w:r>
      <w:r w:rsidR="006821FE" w:rsidRPr="006D2A47">
        <w:rPr>
          <w:sz w:val="22"/>
          <w:szCs w:val="22"/>
        </w:rPr>
        <w:t xml:space="preserve"> </w:t>
      </w:r>
      <w:r w:rsidR="00521921">
        <w:rPr>
          <w:sz w:val="22"/>
          <w:szCs w:val="22"/>
        </w:rPr>
        <w:t>S</w:t>
      </w:r>
      <w:r w:rsidR="00E2721C">
        <w:rPr>
          <w:sz w:val="22"/>
          <w:szCs w:val="22"/>
        </w:rPr>
        <w:t>-</w:t>
      </w:r>
      <w:r w:rsidR="006821FE" w:rsidRPr="006D2A47">
        <w:rPr>
          <w:sz w:val="22"/>
          <w:szCs w:val="22"/>
        </w:rPr>
        <w:t xml:space="preserve">RP </w:t>
      </w:r>
    </w:p>
    <w:p w:rsidR="006D2A47" w:rsidRPr="006D2A47" w:rsidRDefault="006D2A47" w:rsidP="00DD1982">
      <w:pPr>
        <w:pStyle w:val="ListParagraph"/>
        <w:numPr>
          <w:ilvl w:val="0"/>
          <w:numId w:val="18"/>
        </w:numPr>
        <w:spacing w:after="200" w:line="276" w:lineRule="auto"/>
        <w:rPr>
          <w:sz w:val="22"/>
          <w:szCs w:val="22"/>
        </w:rPr>
      </w:pPr>
      <w:r w:rsidRPr="006D2A47">
        <w:rPr>
          <w:sz w:val="22"/>
          <w:szCs w:val="22"/>
        </w:rPr>
        <w:t xml:space="preserve">Multiply the median </w:t>
      </w:r>
      <w:r w:rsidR="00521921">
        <w:rPr>
          <w:sz w:val="22"/>
          <w:szCs w:val="22"/>
        </w:rPr>
        <w:t>S</w:t>
      </w:r>
      <w:r w:rsidR="00E2721C">
        <w:rPr>
          <w:sz w:val="22"/>
          <w:szCs w:val="22"/>
        </w:rPr>
        <w:t>-</w:t>
      </w:r>
      <w:r w:rsidRPr="006D2A47">
        <w:rPr>
          <w:sz w:val="22"/>
          <w:szCs w:val="22"/>
        </w:rPr>
        <w:t xml:space="preserve">RP by 1.2 to calculate </w:t>
      </w:r>
      <w:r w:rsidR="006821FE" w:rsidRPr="006D2A47">
        <w:rPr>
          <w:sz w:val="22"/>
          <w:szCs w:val="22"/>
        </w:rPr>
        <w:t>120</w:t>
      </w:r>
      <w:r w:rsidRPr="006D2A47">
        <w:rPr>
          <w:sz w:val="22"/>
          <w:szCs w:val="22"/>
        </w:rPr>
        <w:t xml:space="preserve"> percent</w:t>
      </w:r>
      <w:r w:rsidR="006821FE" w:rsidRPr="006D2A47">
        <w:rPr>
          <w:sz w:val="22"/>
          <w:szCs w:val="22"/>
        </w:rPr>
        <w:t xml:space="preserve"> of </w:t>
      </w:r>
      <w:r w:rsidRPr="006D2A47">
        <w:rPr>
          <w:sz w:val="22"/>
          <w:szCs w:val="22"/>
        </w:rPr>
        <w:t xml:space="preserve">the median </w:t>
      </w:r>
      <w:r w:rsidR="00521921">
        <w:rPr>
          <w:sz w:val="22"/>
          <w:szCs w:val="22"/>
        </w:rPr>
        <w:t>S</w:t>
      </w:r>
      <w:r w:rsidR="00E2721C">
        <w:rPr>
          <w:sz w:val="22"/>
          <w:szCs w:val="22"/>
        </w:rPr>
        <w:t>-</w:t>
      </w:r>
      <w:r w:rsidRPr="006D2A47">
        <w:rPr>
          <w:sz w:val="22"/>
          <w:szCs w:val="22"/>
        </w:rPr>
        <w:t>RP</w:t>
      </w:r>
    </w:p>
    <w:p w:rsidR="006D2A47" w:rsidRPr="006D2A47" w:rsidRDefault="006821FE" w:rsidP="00DD1982">
      <w:pPr>
        <w:pStyle w:val="ListParagraph"/>
        <w:numPr>
          <w:ilvl w:val="1"/>
          <w:numId w:val="18"/>
        </w:numPr>
        <w:spacing w:after="200" w:line="276" w:lineRule="auto"/>
        <w:rPr>
          <w:sz w:val="22"/>
          <w:szCs w:val="22"/>
        </w:rPr>
      </w:pPr>
      <w:r w:rsidRPr="006D2A47">
        <w:rPr>
          <w:sz w:val="22"/>
          <w:szCs w:val="22"/>
        </w:rPr>
        <w:t xml:space="preserve">This is the threshold used to determine hospitals’ eligibility for payments from the </w:t>
      </w:r>
      <w:r w:rsidR="006D2A47" w:rsidRPr="006D2A47">
        <w:rPr>
          <w:sz w:val="22"/>
          <w:szCs w:val="22"/>
        </w:rPr>
        <w:t>CHRTF</w:t>
      </w:r>
      <w:r w:rsidRPr="006D2A47">
        <w:rPr>
          <w:sz w:val="22"/>
          <w:szCs w:val="22"/>
        </w:rPr>
        <w:t xml:space="preserve"> under Chapter 115</w:t>
      </w:r>
    </w:p>
    <w:p w:rsidR="006821FE" w:rsidRDefault="006821FE" w:rsidP="00DD1982">
      <w:pPr>
        <w:pStyle w:val="ListParagraph"/>
        <w:numPr>
          <w:ilvl w:val="1"/>
          <w:numId w:val="18"/>
        </w:numPr>
        <w:spacing w:after="200" w:line="276" w:lineRule="auto"/>
        <w:rPr>
          <w:sz w:val="22"/>
          <w:szCs w:val="22"/>
        </w:rPr>
      </w:pPr>
      <w:r w:rsidRPr="006D2A47">
        <w:rPr>
          <w:sz w:val="22"/>
          <w:szCs w:val="22"/>
        </w:rPr>
        <w:t>All hospitals below 120</w:t>
      </w:r>
      <w:r w:rsidR="006D2A47" w:rsidRPr="006D2A47">
        <w:rPr>
          <w:sz w:val="22"/>
          <w:szCs w:val="22"/>
        </w:rPr>
        <w:t xml:space="preserve"> percent</w:t>
      </w:r>
      <w:r w:rsidRPr="006D2A47">
        <w:rPr>
          <w:sz w:val="22"/>
          <w:szCs w:val="22"/>
        </w:rPr>
        <w:t xml:space="preserve"> of </w:t>
      </w:r>
      <w:r w:rsidR="006D2A47" w:rsidRPr="006D2A47">
        <w:rPr>
          <w:sz w:val="22"/>
          <w:szCs w:val="22"/>
        </w:rPr>
        <w:t xml:space="preserve">the median </w:t>
      </w:r>
      <w:r w:rsidR="00521921">
        <w:rPr>
          <w:sz w:val="22"/>
          <w:szCs w:val="22"/>
        </w:rPr>
        <w:t>S</w:t>
      </w:r>
      <w:r w:rsidR="00E2721C">
        <w:rPr>
          <w:sz w:val="22"/>
          <w:szCs w:val="22"/>
        </w:rPr>
        <w:t>-</w:t>
      </w:r>
      <w:r w:rsidR="006D2A47" w:rsidRPr="006D2A47">
        <w:rPr>
          <w:sz w:val="22"/>
          <w:szCs w:val="22"/>
        </w:rPr>
        <w:t>RP</w:t>
      </w:r>
      <w:r w:rsidRPr="006D2A47">
        <w:rPr>
          <w:sz w:val="22"/>
          <w:szCs w:val="22"/>
        </w:rPr>
        <w:t xml:space="preserve"> ar</w:t>
      </w:r>
      <w:r w:rsidR="006D2A47" w:rsidRPr="006D2A47">
        <w:rPr>
          <w:sz w:val="22"/>
          <w:szCs w:val="22"/>
        </w:rPr>
        <w:t>e eligible to receive payments from the CHRTF</w:t>
      </w:r>
    </w:p>
    <w:sectPr w:rsidR="006821FE" w:rsidSect="00CA642B">
      <w:footerReference w:type="default" r:id="rId10"/>
      <w:headerReference w:type="first" r:id="rId11"/>
      <w:footerReference w:type="first" r:id="rId12"/>
      <w:pgSz w:w="12240" w:h="15840"/>
      <w:pgMar w:top="1440" w:right="1440" w:bottom="1714" w:left="1440" w:header="25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C66" w:rsidRDefault="00406C66">
      <w:r>
        <w:separator/>
      </w:r>
    </w:p>
  </w:endnote>
  <w:endnote w:type="continuationSeparator" w:id="0">
    <w:p w:rsidR="00406C66" w:rsidRDefault="0040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708787"/>
      <w:docPartObj>
        <w:docPartGallery w:val="Page Numbers (Bottom of Page)"/>
        <w:docPartUnique/>
      </w:docPartObj>
    </w:sdtPr>
    <w:sdtEndPr>
      <w:rPr>
        <w:noProof/>
        <w:sz w:val="22"/>
        <w:szCs w:val="22"/>
      </w:rPr>
    </w:sdtEndPr>
    <w:sdtContent>
      <w:p w:rsidR="005C0871" w:rsidRPr="005C0871" w:rsidRDefault="005C0871">
        <w:pPr>
          <w:pStyle w:val="Footer"/>
          <w:jc w:val="right"/>
          <w:rPr>
            <w:sz w:val="22"/>
            <w:szCs w:val="22"/>
          </w:rPr>
        </w:pPr>
        <w:r w:rsidRPr="005C0871">
          <w:rPr>
            <w:sz w:val="22"/>
            <w:szCs w:val="22"/>
          </w:rPr>
          <w:fldChar w:fldCharType="begin"/>
        </w:r>
        <w:r w:rsidRPr="005C0871">
          <w:rPr>
            <w:sz w:val="22"/>
            <w:szCs w:val="22"/>
          </w:rPr>
          <w:instrText xml:space="preserve"> PAGE   \* MERGEFORMAT </w:instrText>
        </w:r>
        <w:r w:rsidRPr="005C0871">
          <w:rPr>
            <w:sz w:val="22"/>
            <w:szCs w:val="22"/>
          </w:rPr>
          <w:fldChar w:fldCharType="separate"/>
        </w:r>
        <w:r w:rsidR="0025379A">
          <w:rPr>
            <w:noProof/>
            <w:sz w:val="22"/>
            <w:szCs w:val="22"/>
          </w:rPr>
          <w:t>2</w:t>
        </w:r>
        <w:r w:rsidRPr="005C0871">
          <w:rPr>
            <w:noProof/>
            <w:sz w:val="22"/>
            <w:szCs w:val="22"/>
          </w:rPr>
          <w:fldChar w:fldCharType="end"/>
        </w:r>
      </w:p>
    </w:sdtContent>
  </w:sdt>
  <w:p w:rsidR="003B519B" w:rsidRDefault="003B5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Pr="001D5DE2" w:rsidRDefault="008A6188" w:rsidP="008A6188">
    <w:pPr>
      <w:pStyle w:val="Footer"/>
      <w:jc w:val="center"/>
      <w:rPr>
        <w:rFonts w:ascii="Arial Bold" w:hAnsi="Arial Bold"/>
        <w:color w:val="00436E"/>
        <w:sz w:val="14"/>
        <w:szCs w:val="14"/>
      </w:rPr>
    </w:pPr>
    <w:r w:rsidRPr="008A6188">
      <w:rPr>
        <w:rFonts w:ascii="Arial" w:hAnsi="Arial"/>
        <w:noProof/>
        <w:color w:val="808080" w:themeColor="background1" w:themeShade="80"/>
        <w:sz w:val="14"/>
        <w:szCs w:val="14"/>
      </w:rPr>
      <mc:AlternateContent>
        <mc:Choice Requires="wps">
          <w:drawing>
            <wp:anchor distT="0" distB="0" distL="114300" distR="114300" simplePos="0" relativeHeight="251657728" behindDoc="0" locked="0" layoutInCell="1" allowOverlap="1" wp14:anchorId="6CCF8225" wp14:editId="6FC0C5A4">
              <wp:simplePos x="0" y="0"/>
              <wp:positionH relativeFrom="column">
                <wp:posOffset>4313868</wp:posOffset>
              </wp:positionH>
              <wp:positionV relativeFrom="paragraph">
                <wp:posOffset>-647700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691DF1" w:rsidRPr="00720073" w:rsidRDefault="00691DF1" w:rsidP="00691DF1">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Pr="00720073">
                            <w:rPr>
                              <w:rFonts w:ascii="Arial" w:hAnsi="Arial"/>
                              <w:color w:val="808080" w:themeColor="background1" w:themeShade="80"/>
                              <w:sz w:val="14"/>
                              <w:szCs w:val="14"/>
                            </w:rPr>
                            <w:t xml:space="preserve"> BOYLSTON STREET</w:t>
                          </w:r>
                          <w:r w:rsidRPr="00720073">
                            <w:rPr>
                              <w:color w:val="808080" w:themeColor="background1" w:themeShade="80"/>
                              <w:sz w:val="14"/>
                              <w:szCs w:val="14"/>
                            </w:rPr>
                            <w:br/>
                          </w:r>
                          <w:r w:rsidRPr="00720073">
                            <w:rPr>
                              <w:rFonts w:ascii="Arial" w:hAnsi="Arial"/>
                              <w:color w:val="808080" w:themeColor="background1" w:themeShade="80"/>
                              <w:sz w:val="14"/>
                              <w:szCs w:val="14"/>
                            </w:rPr>
                            <w:t>BOSTON, MA 02116</w:t>
                          </w:r>
                        </w:p>
                        <w:p w:rsidR="00691DF1" w:rsidRPr="00720073" w:rsidRDefault="00691DF1" w:rsidP="00691DF1">
                          <w:pPr>
                            <w:pStyle w:val="Footer"/>
                            <w:jc w:val="right"/>
                            <w:rPr>
                              <w:rFonts w:ascii="Arial" w:hAnsi="Arial"/>
                              <w:color w:val="A6A6A6" w:themeColor="background1" w:themeShade="A6"/>
                              <w:sz w:val="14"/>
                              <w:szCs w:val="14"/>
                            </w:rPr>
                          </w:pPr>
                        </w:p>
                        <w:p w:rsidR="00691DF1" w:rsidRPr="00720073" w:rsidRDefault="00691DF1" w:rsidP="00691DF1">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691DF1" w:rsidRPr="00720073" w:rsidRDefault="00691DF1" w:rsidP="00691DF1">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691DF1" w:rsidRPr="001D5DE2" w:rsidRDefault="00691DF1" w:rsidP="00691DF1">
                          <w:pPr>
                            <w:pStyle w:val="Footer"/>
                            <w:jc w:val="right"/>
                            <w:rPr>
                              <w:rFonts w:ascii="Arial" w:hAnsi="Arial"/>
                              <w:color w:val="C0C0C0"/>
                              <w:sz w:val="14"/>
                              <w:szCs w:val="14"/>
                            </w:rPr>
                          </w:pPr>
                        </w:p>
                        <w:p w:rsidR="008A6188" w:rsidRDefault="000F0CDA" w:rsidP="000F0CDA">
                          <w:pPr>
                            <w:ind w:left="1440"/>
                          </w:pPr>
                          <w:r>
                            <w:rPr>
                              <w:rFonts w:ascii="Arial Bold" w:hAnsi="Arial Bold"/>
                              <w:color w:val="00436E"/>
                              <w:sz w:val="14"/>
                              <w:szCs w:val="14"/>
                            </w:rPr>
                            <w:t xml:space="preserve">                 </w:t>
                          </w:r>
                          <w:r w:rsidR="00691DF1">
                            <w:rPr>
                              <w:rFonts w:ascii="Arial Bold" w:hAnsi="Arial Bold"/>
                              <w:color w:val="00436E"/>
                              <w:sz w:val="14"/>
                              <w:szCs w:val="14"/>
                            </w:rPr>
                            <w:t>www.</w:t>
                          </w:r>
                          <w:r w:rsidR="00691DF1" w:rsidRPr="001D5DE2">
                            <w:rPr>
                              <w:rFonts w:ascii="Arial Bold" w:hAnsi="Arial Bold"/>
                              <w:color w:val="00436E"/>
                              <w:sz w:val="14"/>
                              <w:szCs w:val="14"/>
                            </w:rPr>
                            <w:t>chia</w:t>
                          </w:r>
                          <w:r w:rsidR="00691DF1">
                            <w:rPr>
                              <w:rFonts w:ascii="Arial Bold" w:hAnsi="Arial Bold"/>
                              <w:color w:val="00436E"/>
                              <w:sz w:val="14"/>
                              <w:szCs w:val="14"/>
                            </w:rPr>
                            <w:t>mass.gov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9.65pt;margin-top:-51pt;width:186.95pt;height:110.5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" stroked="f">
              <v:textbox style="mso-fit-shape-to-text:t">
                <w:txbxContent>
                  <w:p w:rsidR="00691DF1" w:rsidRPr="00720073" w:rsidRDefault="00691DF1" w:rsidP="00691DF1">
                    <w:pPr>
                      <w:pStyle w:val="Footer"/>
                      <w:jc w:val="right"/>
                      <w:rPr>
                        <w:rFonts w:ascii="Arial" w:hAnsi="Arial"/>
                        <w:color w:val="808080" w:themeColor="background1" w:themeShade="80"/>
                        <w:sz w:val="14"/>
                        <w:szCs w:val="14"/>
                      </w:rPr>
                    </w:pPr>
                    <w:r>
                      <w:rPr>
                        <w:rFonts w:ascii="Arial" w:hAnsi="Arial"/>
                        <w:color w:val="808080" w:themeColor="background1" w:themeShade="80"/>
                        <w:sz w:val="14"/>
                        <w:szCs w:val="14"/>
                      </w:rPr>
                      <w:t>501</w:t>
                    </w:r>
                    <w:r w:rsidRPr="00720073">
                      <w:rPr>
                        <w:rFonts w:ascii="Arial" w:hAnsi="Arial"/>
                        <w:color w:val="808080" w:themeColor="background1" w:themeShade="80"/>
                        <w:sz w:val="14"/>
                        <w:szCs w:val="14"/>
                      </w:rPr>
                      <w:t xml:space="preserve"> BOYLSTON STREET</w:t>
                    </w:r>
                    <w:r w:rsidRPr="00720073">
                      <w:rPr>
                        <w:color w:val="808080" w:themeColor="background1" w:themeShade="80"/>
                        <w:sz w:val="14"/>
                        <w:szCs w:val="14"/>
                      </w:rPr>
                      <w:br/>
                    </w:r>
                    <w:r w:rsidRPr="00720073">
                      <w:rPr>
                        <w:rFonts w:ascii="Arial" w:hAnsi="Arial"/>
                        <w:color w:val="808080" w:themeColor="background1" w:themeShade="80"/>
                        <w:sz w:val="14"/>
                        <w:szCs w:val="14"/>
                      </w:rPr>
                      <w:t>BOSTON, MA 02116</w:t>
                    </w:r>
                  </w:p>
                  <w:p w:rsidR="00691DF1" w:rsidRPr="00720073" w:rsidRDefault="00691DF1" w:rsidP="00691DF1">
                    <w:pPr>
                      <w:pStyle w:val="Footer"/>
                      <w:jc w:val="right"/>
                      <w:rPr>
                        <w:rFonts w:ascii="Arial" w:hAnsi="Arial"/>
                        <w:color w:val="A6A6A6" w:themeColor="background1" w:themeShade="A6"/>
                        <w:sz w:val="14"/>
                        <w:szCs w:val="14"/>
                      </w:rPr>
                    </w:pPr>
                  </w:p>
                  <w:p w:rsidR="00691DF1" w:rsidRPr="00720073" w:rsidRDefault="00691DF1" w:rsidP="00691DF1">
                    <w:pPr>
                      <w:pStyle w:val="Footer"/>
                      <w:jc w:val="right"/>
                      <w:rPr>
                        <w:rFonts w:ascii="Arial" w:hAnsi="Arial"/>
                        <w:color w:val="808080" w:themeColor="background1" w:themeShade="80"/>
                        <w:sz w:val="14"/>
                        <w:szCs w:val="14"/>
                      </w:rPr>
                    </w:pPr>
                    <w:proofErr w:type="gramStart"/>
                    <w:r w:rsidRPr="001D5DE2">
                      <w:rPr>
                        <w:rFonts w:ascii="Arial Bold" w:hAnsi="Arial Bold"/>
                        <w:color w:val="00436D"/>
                        <w:sz w:val="14"/>
                        <w:szCs w:val="14"/>
                      </w:rPr>
                      <w:t>T</w:t>
                    </w:r>
                    <w:r w:rsidRPr="001D5DE2">
                      <w:rPr>
                        <w:rFonts w:ascii="Arial" w:hAnsi="Arial"/>
                        <w:color w:val="C0C0C0"/>
                        <w:sz w:val="14"/>
                        <w:szCs w:val="14"/>
                      </w:rPr>
                      <w:t xml:space="preserve">  </w:t>
                    </w:r>
                    <w:r>
                      <w:rPr>
                        <w:rFonts w:ascii="Arial" w:hAnsi="Arial"/>
                        <w:color w:val="808080" w:themeColor="background1" w:themeShade="80"/>
                        <w:sz w:val="14"/>
                        <w:szCs w:val="14"/>
                      </w:rPr>
                      <w:t>617.701.8</w:t>
                    </w:r>
                    <w:r w:rsidRPr="00720073">
                      <w:rPr>
                        <w:rFonts w:ascii="Arial" w:hAnsi="Arial"/>
                        <w:color w:val="808080" w:themeColor="background1" w:themeShade="80"/>
                        <w:sz w:val="14"/>
                        <w:szCs w:val="14"/>
                      </w:rPr>
                      <w:t>100</w:t>
                    </w:r>
                    <w:proofErr w:type="gramEnd"/>
                  </w:p>
                  <w:p w:rsidR="00691DF1" w:rsidRPr="00720073" w:rsidRDefault="00691DF1" w:rsidP="00691DF1">
                    <w:pPr>
                      <w:pStyle w:val="Footer"/>
                      <w:jc w:val="right"/>
                      <w:rPr>
                        <w:rFonts w:ascii="Arial" w:hAnsi="Arial"/>
                        <w:color w:val="808080" w:themeColor="background1" w:themeShade="80"/>
                        <w:sz w:val="14"/>
                        <w:szCs w:val="14"/>
                      </w:rPr>
                    </w:pPr>
                    <w:proofErr w:type="gramStart"/>
                    <w:r w:rsidRPr="001D5DE2">
                      <w:rPr>
                        <w:rFonts w:ascii="Arial Bold" w:hAnsi="Arial Bold"/>
                        <w:color w:val="00436E"/>
                        <w:sz w:val="14"/>
                        <w:szCs w:val="14"/>
                      </w:rPr>
                      <w:t>F</w:t>
                    </w:r>
                    <w:r w:rsidRPr="001D5DE2">
                      <w:rPr>
                        <w:rFonts w:ascii="Arial" w:hAnsi="Arial"/>
                        <w:color w:val="C0C0C0"/>
                        <w:sz w:val="14"/>
                        <w:szCs w:val="14"/>
                      </w:rPr>
                      <w:t xml:space="preserve">  </w:t>
                    </w:r>
                    <w:r w:rsidRPr="00720073">
                      <w:rPr>
                        <w:rFonts w:ascii="Arial" w:hAnsi="Arial"/>
                        <w:color w:val="808080" w:themeColor="background1" w:themeShade="80"/>
                        <w:sz w:val="14"/>
                        <w:szCs w:val="14"/>
                      </w:rPr>
                      <w:t>617.727.7662</w:t>
                    </w:r>
                    <w:proofErr w:type="gramEnd"/>
                  </w:p>
                  <w:p w:rsidR="00691DF1" w:rsidRPr="001D5DE2" w:rsidRDefault="00691DF1" w:rsidP="00691DF1">
                    <w:pPr>
                      <w:pStyle w:val="Footer"/>
                      <w:jc w:val="right"/>
                      <w:rPr>
                        <w:rFonts w:ascii="Arial" w:hAnsi="Arial"/>
                        <w:color w:val="C0C0C0"/>
                        <w:sz w:val="14"/>
                        <w:szCs w:val="14"/>
                      </w:rPr>
                    </w:pPr>
                  </w:p>
                  <w:p w:rsidR="008A6188" w:rsidRDefault="000F0CDA" w:rsidP="000F0CDA">
                    <w:pPr>
                      <w:ind w:left="1440"/>
                    </w:pPr>
                    <w:r>
                      <w:rPr>
                        <w:rFonts w:ascii="Arial Bold" w:hAnsi="Arial Bold"/>
                        <w:color w:val="00436E"/>
                        <w:sz w:val="14"/>
                        <w:szCs w:val="14"/>
                      </w:rPr>
                      <w:t xml:space="preserve">                 </w:t>
                    </w:r>
                    <w:r w:rsidR="00691DF1">
                      <w:rPr>
                        <w:rFonts w:ascii="Arial Bold" w:hAnsi="Arial Bold"/>
                        <w:color w:val="00436E"/>
                        <w:sz w:val="14"/>
                        <w:szCs w:val="14"/>
                      </w:rPr>
                      <w:t>www.</w:t>
                    </w:r>
                    <w:r w:rsidR="00691DF1" w:rsidRPr="001D5DE2">
                      <w:rPr>
                        <w:rFonts w:ascii="Arial Bold" w:hAnsi="Arial Bold"/>
                        <w:color w:val="00436E"/>
                        <w:sz w:val="14"/>
                        <w:szCs w:val="14"/>
                      </w:rPr>
                      <w:t>chia</w:t>
                    </w:r>
                    <w:r w:rsidR="00691DF1">
                      <w:rPr>
                        <w:rFonts w:ascii="Arial Bold" w:hAnsi="Arial Bold"/>
                        <w:color w:val="00436E"/>
                        <w:sz w:val="14"/>
                        <w:szCs w:val="14"/>
                      </w:rPr>
                      <w:t>mass.gov</w:t>
                    </w:r>
                  </w:p>
                </w:txbxContent>
              </v:textbox>
            </v:shape>
          </w:pict>
        </mc:Fallback>
      </mc:AlternateContent>
    </w:r>
  </w:p>
  <w:p w:rsidR="009723E3" w:rsidRPr="001D5DE2" w:rsidRDefault="009723E3">
    <w:pPr>
      <w:pStyle w:val="Footer"/>
      <w:rPr>
        <w:rFonts w:ascii="Arial Bold" w:hAnsi="Arial Bold"/>
        <w:color w:val="00436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C66" w:rsidRDefault="00406C66">
      <w:r>
        <w:separator/>
      </w:r>
    </w:p>
  </w:footnote>
  <w:footnote w:type="continuationSeparator" w:id="0">
    <w:p w:rsidR="00406C66" w:rsidRDefault="00406C66">
      <w:r>
        <w:continuationSeparator/>
      </w:r>
    </w:p>
  </w:footnote>
  <w:footnote w:id="1">
    <w:p w:rsidR="005A25DA" w:rsidRPr="00B4407A" w:rsidRDefault="005A25DA" w:rsidP="005A25DA">
      <w:pPr>
        <w:pStyle w:val="FootnoteText"/>
        <w:rPr>
          <w:sz w:val="18"/>
          <w:szCs w:val="18"/>
        </w:rPr>
      </w:pPr>
      <w:r w:rsidRPr="00B4407A">
        <w:rPr>
          <w:rStyle w:val="FootnoteReference"/>
          <w:sz w:val="18"/>
          <w:szCs w:val="18"/>
        </w:rPr>
        <w:footnoteRef/>
      </w:r>
      <w:r w:rsidRPr="00B4407A">
        <w:rPr>
          <w:sz w:val="18"/>
          <w:szCs w:val="18"/>
        </w:rPr>
        <w:t xml:space="preserve"> </w:t>
      </w:r>
      <w:proofErr w:type="gramStart"/>
      <w:r w:rsidRPr="00B4407A">
        <w:rPr>
          <w:sz w:val="18"/>
          <w:szCs w:val="18"/>
        </w:rPr>
        <w:t>Commonwealth of Massachusetts.</w:t>
      </w:r>
      <w:proofErr w:type="gramEnd"/>
      <w:r w:rsidRPr="00B4407A">
        <w:rPr>
          <w:sz w:val="18"/>
          <w:szCs w:val="18"/>
        </w:rPr>
        <w:t xml:space="preserve"> “Chapter 115 of the Acts of 2016: An Act Relative to Equitable Health Care Pricing.” May 31, 2016. </w:t>
      </w:r>
      <w:hyperlink r:id="rId1" w:history="1">
        <w:r w:rsidR="00C5450E" w:rsidRPr="00780891">
          <w:rPr>
            <w:rStyle w:val="Hyperlink"/>
            <w:sz w:val="18"/>
            <w:szCs w:val="18"/>
          </w:rPr>
          <w:t>https://malegislature.gov/Laws/SessionLaws/Acts/2016/Chapter115</w:t>
        </w:r>
      </w:hyperlink>
      <w:r w:rsidR="00C5450E">
        <w:rPr>
          <w:sz w:val="18"/>
          <w:szCs w:val="18"/>
        </w:rPr>
        <w:t xml:space="preserve">. </w:t>
      </w:r>
    </w:p>
  </w:footnote>
  <w:footnote w:id="2">
    <w:p w:rsidR="0062691C" w:rsidRDefault="0062691C" w:rsidP="0062691C">
      <w:pPr>
        <w:pStyle w:val="FootnoteText"/>
      </w:pPr>
      <w:r w:rsidRPr="00956F12">
        <w:rPr>
          <w:rStyle w:val="FootnoteReference"/>
          <w:sz w:val="18"/>
        </w:rPr>
        <w:footnoteRef/>
      </w:r>
      <w:r w:rsidRPr="00956F12">
        <w:rPr>
          <w:sz w:val="18"/>
        </w:rPr>
        <w:t xml:space="preserve"> RP data is submitted </w:t>
      </w:r>
      <w:r>
        <w:rPr>
          <w:sz w:val="18"/>
        </w:rPr>
        <w:t xml:space="preserve">by </w:t>
      </w:r>
      <w:r w:rsidRPr="00956F12">
        <w:rPr>
          <w:sz w:val="18"/>
        </w:rPr>
        <w:t xml:space="preserve">the following payers for their commercial lines of business: Aetna, Blue Cross Blue Shield of Massachusetts, BMC </w:t>
      </w:r>
      <w:proofErr w:type="spellStart"/>
      <w:r w:rsidRPr="00956F12">
        <w:rPr>
          <w:sz w:val="18"/>
        </w:rPr>
        <w:t>HealthNet</w:t>
      </w:r>
      <w:proofErr w:type="spellEnd"/>
      <w:r w:rsidRPr="00956F12">
        <w:rPr>
          <w:sz w:val="18"/>
        </w:rPr>
        <w:t xml:space="preserve">, </w:t>
      </w:r>
      <w:proofErr w:type="spellStart"/>
      <w:r w:rsidRPr="00956F12">
        <w:rPr>
          <w:sz w:val="18"/>
        </w:rPr>
        <w:t>Celticare</w:t>
      </w:r>
      <w:proofErr w:type="spellEnd"/>
      <w:r w:rsidRPr="00956F12">
        <w:rPr>
          <w:sz w:val="18"/>
        </w:rPr>
        <w:t xml:space="preserve"> Health, Cigna, Fallon Health, Harvard Pilgrim Health Car</w:t>
      </w:r>
      <w:r>
        <w:rPr>
          <w:sz w:val="18"/>
        </w:rPr>
        <w:t>e, Health New England, Neighborhoo</w:t>
      </w:r>
      <w:r w:rsidRPr="00956F12">
        <w:rPr>
          <w:sz w:val="18"/>
        </w:rPr>
        <w:t xml:space="preserve">d Health Plan, Minuteman Health, Tufts Public Plans (formerly Network Health), Tufts Health Plan, </w:t>
      </w:r>
      <w:proofErr w:type="spellStart"/>
      <w:r w:rsidRPr="00956F12">
        <w:rPr>
          <w:sz w:val="18"/>
        </w:rPr>
        <w:t>UniCare</w:t>
      </w:r>
      <w:proofErr w:type="spellEnd"/>
      <w:r w:rsidRPr="00956F12">
        <w:rPr>
          <w:sz w:val="18"/>
        </w:rPr>
        <w:t xml:space="preserve">, and United Healthcare. </w:t>
      </w:r>
    </w:p>
  </w:footnote>
  <w:footnote w:id="3">
    <w:p w:rsidR="0062691C" w:rsidRPr="00B4407A" w:rsidRDefault="0062691C" w:rsidP="0062691C">
      <w:pPr>
        <w:pStyle w:val="FootnoteText"/>
        <w:rPr>
          <w:sz w:val="18"/>
          <w:szCs w:val="18"/>
        </w:rPr>
      </w:pPr>
      <w:r w:rsidRPr="00B4407A">
        <w:rPr>
          <w:rStyle w:val="FootnoteReference"/>
          <w:sz w:val="18"/>
          <w:szCs w:val="18"/>
        </w:rPr>
        <w:footnoteRef/>
      </w:r>
      <w:r w:rsidRPr="00B4407A">
        <w:rPr>
          <w:sz w:val="18"/>
          <w:szCs w:val="18"/>
        </w:rPr>
        <w:t xml:space="preserve"> </w:t>
      </w:r>
      <w:r>
        <w:rPr>
          <w:sz w:val="18"/>
          <w:szCs w:val="18"/>
        </w:rPr>
        <w:t>See</w:t>
      </w:r>
      <w:r w:rsidRPr="00B4407A">
        <w:rPr>
          <w:sz w:val="18"/>
          <w:szCs w:val="18"/>
        </w:rPr>
        <w:t xml:space="preserve"> </w:t>
      </w:r>
      <w:r w:rsidR="006054DE">
        <w:rPr>
          <w:sz w:val="18"/>
          <w:szCs w:val="18"/>
        </w:rPr>
        <w:t xml:space="preserve">957 </w:t>
      </w:r>
      <w:r>
        <w:rPr>
          <w:sz w:val="18"/>
          <w:szCs w:val="18"/>
        </w:rPr>
        <w:t>C</w:t>
      </w:r>
      <w:r w:rsidRPr="00B4407A">
        <w:rPr>
          <w:sz w:val="18"/>
          <w:szCs w:val="18"/>
        </w:rPr>
        <w:t>ode of Massachusetts Regulations (CMR)</w:t>
      </w:r>
      <w:r w:rsidR="006054DE">
        <w:rPr>
          <w:sz w:val="18"/>
          <w:szCs w:val="18"/>
        </w:rPr>
        <w:t xml:space="preserve"> </w:t>
      </w:r>
      <w:r w:rsidRPr="00B4407A">
        <w:rPr>
          <w:sz w:val="18"/>
          <w:szCs w:val="18"/>
        </w:rPr>
        <w:t>2.00</w:t>
      </w:r>
      <w:r>
        <w:rPr>
          <w:sz w:val="18"/>
          <w:szCs w:val="18"/>
        </w:rPr>
        <w:t xml:space="preserve"> which</w:t>
      </w:r>
      <w:r w:rsidRPr="00B4407A">
        <w:rPr>
          <w:sz w:val="18"/>
          <w:szCs w:val="18"/>
        </w:rPr>
        <w:t xml:space="preserve"> governs the methodology and filing requirements for health care payers to calculate and report </w:t>
      </w:r>
      <w:r>
        <w:rPr>
          <w:sz w:val="18"/>
          <w:szCs w:val="18"/>
        </w:rPr>
        <w:t>RP</w:t>
      </w:r>
      <w:r w:rsidRPr="00B4407A">
        <w:rPr>
          <w:sz w:val="18"/>
          <w:szCs w:val="18"/>
        </w:rPr>
        <w:t xml:space="preserve"> data to CHIA.</w:t>
      </w:r>
    </w:p>
  </w:footnote>
  <w:footnote w:id="4">
    <w:p w:rsidR="0062691C" w:rsidRDefault="0062691C" w:rsidP="0062691C">
      <w:pPr>
        <w:pStyle w:val="FootnoteText"/>
      </w:pPr>
      <w:r>
        <w:rPr>
          <w:rStyle w:val="FootnoteReference"/>
        </w:rPr>
        <w:footnoteRef/>
      </w:r>
      <w:r>
        <w:t xml:space="preserve"> </w:t>
      </w:r>
      <w:r w:rsidRPr="008E64B8">
        <w:rPr>
          <w:sz w:val="18"/>
          <w:szCs w:val="18"/>
        </w:rPr>
        <w:t>For inpatient care, payers provide total payments, total discharges, and the case</w:t>
      </w:r>
      <w:r w:rsidR="006054DE">
        <w:rPr>
          <w:sz w:val="18"/>
          <w:szCs w:val="18"/>
        </w:rPr>
        <w:t>-</w:t>
      </w:r>
      <w:r w:rsidRPr="008E64B8">
        <w:rPr>
          <w:sz w:val="18"/>
          <w:szCs w:val="18"/>
        </w:rPr>
        <w:t xml:space="preserve">mix for </w:t>
      </w:r>
      <w:r>
        <w:rPr>
          <w:sz w:val="18"/>
          <w:szCs w:val="18"/>
        </w:rPr>
        <w:t>their member population</w:t>
      </w:r>
      <w:r w:rsidRPr="008E64B8">
        <w:rPr>
          <w:sz w:val="18"/>
          <w:szCs w:val="18"/>
        </w:rPr>
        <w:t xml:space="preserve">. This allows for the calculation of </w:t>
      </w:r>
      <w:r>
        <w:rPr>
          <w:sz w:val="18"/>
          <w:szCs w:val="18"/>
        </w:rPr>
        <w:t xml:space="preserve">case-mix </w:t>
      </w:r>
      <w:r w:rsidRPr="008E64B8">
        <w:rPr>
          <w:sz w:val="18"/>
          <w:szCs w:val="18"/>
        </w:rPr>
        <w:t xml:space="preserve">adjusted payments per discharge. </w:t>
      </w:r>
      <w:r>
        <w:rPr>
          <w:sz w:val="18"/>
          <w:szCs w:val="18"/>
        </w:rPr>
        <w:t>For outpatient care, payers report multipliers on a standard fee schedule by service categories that are reflective of their contracts with providers, and do not report a volume metric or case</w:t>
      </w:r>
      <w:r w:rsidR="006054DE">
        <w:rPr>
          <w:sz w:val="18"/>
          <w:szCs w:val="18"/>
        </w:rPr>
        <w:t>-</w:t>
      </w:r>
      <w:r>
        <w:rPr>
          <w:sz w:val="18"/>
          <w:szCs w:val="18"/>
        </w:rPr>
        <w:t xml:space="preserve">mix index. </w:t>
      </w:r>
    </w:p>
  </w:footnote>
  <w:footnote w:id="5">
    <w:p w:rsidR="0062691C" w:rsidRDefault="0062691C">
      <w:pPr>
        <w:pStyle w:val="FootnoteText"/>
      </w:pPr>
      <w:r>
        <w:rPr>
          <w:rStyle w:val="FootnoteReference"/>
        </w:rPr>
        <w:footnoteRef/>
      </w:r>
      <w:r>
        <w:t xml:space="preserve"> </w:t>
      </w:r>
      <w:r w:rsidRPr="0025379A">
        <w:rPr>
          <w:sz w:val="18"/>
        </w:rPr>
        <w:t xml:space="preserve">Additional information on the methodology for calculating conventional RP can be found in CHIA’s RP Methodology Paper available at </w:t>
      </w:r>
      <w:hyperlink r:id="rId2" w:history="1">
        <w:r w:rsidRPr="0025379A">
          <w:rPr>
            <w:rStyle w:val="Hyperlink"/>
            <w:sz w:val="18"/>
          </w:rPr>
          <w:t>http://www.chiamass.gov/assets/docs/r/pubs/16/RP-Methodology-Paper-9-15-16.pdf</w:t>
        </w:r>
      </w:hyperlink>
      <w:r w:rsidRPr="0025379A">
        <w:rPr>
          <w:sz w:val="18"/>
        </w:rPr>
        <w:t>.</w:t>
      </w:r>
    </w:p>
  </w:footnote>
  <w:footnote w:id="6">
    <w:p w:rsidR="00EC7ABC" w:rsidRPr="00B40736" w:rsidRDefault="00EC7ABC">
      <w:pPr>
        <w:pStyle w:val="FootnoteText"/>
        <w:rPr>
          <w:sz w:val="18"/>
          <w:szCs w:val="18"/>
        </w:rPr>
      </w:pPr>
      <w:r w:rsidRPr="00B40736">
        <w:rPr>
          <w:rStyle w:val="FootnoteReference"/>
          <w:sz w:val="18"/>
          <w:szCs w:val="18"/>
        </w:rPr>
        <w:footnoteRef/>
      </w:r>
      <w:r w:rsidRPr="00B40736">
        <w:rPr>
          <w:sz w:val="18"/>
          <w:szCs w:val="18"/>
        </w:rPr>
        <w:t xml:space="preserve"> For outpatient care, neither the fee schedule from which payment multipliers are reported nor the service categories for which payments are allocated according to service mix are standardized across payers.</w:t>
      </w:r>
    </w:p>
  </w:footnote>
  <w:footnote w:id="7">
    <w:p w:rsidR="009B5467" w:rsidRPr="009B5467" w:rsidRDefault="009B5467">
      <w:pPr>
        <w:pStyle w:val="FootnoteText"/>
        <w:rPr>
          <w:sz w:val="18"/>
        </w:rPr>
      </w:pPr>
      <w:r w:rsidRPr="00982E6E">
        <w:rPr>
          <w:rStyle w:val="FootnoteReference"/>
        </w:rPr>
        <w:footnoteRef/>
      </w:r>
      <w:r w:rsidRPr="00982E6E">
        <w:rPr>
          <w:rStyle w:val="FootnoteReference"/>
        </w:rPr>
        <w:t xml:space="preserve"> </w:t>
      </w:r>
      <w:r w:rsidR="00FD50DF">
        <w:t>T</w:t>
      </w:r>
      <w:r>
        <w:rPr>
          <w:sz w:val="18"/>
        </w:rPr>
        <w:t xml:space="preserve">he calculation of </w:t>
      </w:r>
      <w:r w:rsidR="00FD50DF">
        <w:rPr>
          <w:sz w:val="18"/>
        </w:rPr>
        <w:t>S</w:t>
      </w:r>
      <w:r w:rsidR="005B6063">
        <w:rPr>
          <w:sz w:val="18"/>
        </w:rPr>
        <w:t>-</w:t>
      </w:r>
      <w:r w:rsidR="00FD50DF">
        <w:rPr>
          <w:sz w:val="18"/>
        </w:rPr>
        <w:t xml:space="preserve">RP for the purposes of identifying hospitals that are eligible for payments from the </w:t>
      </w:r>
      <w:r w:rsidR="00111960">
        <w:rPr>
          <w:sz w:val="18"/>
        </w:rPr>
        <w:t xml:space="preserve">Community Hospital Reinvestment Trust Fund </w:t>
      </w:r>
      <w:r>
        <w:rPr>
          <w:sz w:val="18"/>
        </w:rPr>
        <w:t>will be based upon data filed from private payers for the</w:t>
      </w:r>
      <w:r w:rsidR="00DB6DA3">
        <w:rPr>
          <w:sz w:val="18"/>
        </w:rPr>
        <w:t>ir</w:t>
      </w:r>
      <w:r>
        <w:rPr>
          <w:sz w:val="18"/>
        </w:rPr>
        <w:t xml:space="preserve"> commercial line</w:t>
      </w:r>
      <w:bookmarkStart w:id="0" w:name="_GoBack"/>
      <w:bookmarkEnd w:id="0"/>
      <w:r>
        <w:rPr>
          <w:sz w:val="18"/>
        </w:rPr>
        <w:t xml:space="preserve">s of business. </w:t>
      </w:r>
    </w:p>
  </w:footnote>
  <w:footnote w:id="8">
    <w:p w:rsidR="00714748" w:rsidRPr="00714748" w:rsidRDefault="00714748">
      <w:pPr>
        <w:pStyle w:val="FootnoteText"/>
        <w:rPr>
          <w:sz w:val="18"/>
          <w:szCs w:val="18"/>
        </w:rPr>
      </w:pPr>
      <w:r w:rsidRPr="00982E6E">
        <w:rPr>
          <w:rStyle w:val="FootnoteReference"/>
        </w:rPr>
        <w:footnoteRef/>
      </w:r>
      <w:r w:rsidRPr="00281E3B">
        <w:rPr>
          <w:sz w:val="18"/>
        </w:rPr>
        <w:t xml:space="preserve"> This includes the non-claims multiplier.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3E3" w:rsidRDefault="00FE2726">
    <w:pPr>
      <w:pStyle w:val="Header"/>
    </w:pPr>
    <w:r>
      <w:rPr>
        <w:noProof/>
        <w:szCs w:val="20"/>
      </w:rPr>
      <w:drawing>
        <wp:anchor distT="0" distB="0" distL="114300" distR="114300" simplePos="0" relativeHeight="251656704" behindDoc="1" locked="1" layoutInCell="1" allowOverlap="1" wp14:anchorId="4E1D1CAC" wp14:editId="4DE1DC5C">
          <wp:simplePos x="0" y="0"/>
          <wp:positionH relativeFrom="margin">
            <wp:posOffset>5554980</wp:posOffset>
          </wp:positionH>
          <wp:positionV relativeFrom="page">
            <wp:posOffset>345440</wp:posOffset>
          </wp:positionV>
          <wp:extent cx="1054100" cy="1524000"/>
          <wp:effectExtent l="0" t="0" r="0" b="0"/>
          <wp:wrapNone/>
          <wp:docPr id="3" name="Picture 3"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C53"/>
    <w:multiLevelType w:val="hybridMultilevel"/>
    <w:tmpl w:val="9074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900DE"/>
    <w:multiLevelType w:val="hybridMultilevel"/>
    <w:tmpl w:val="C19A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73A87"/>
    <w:multiLevelType w:val="hybridMultilevel"/>
    <w:tmpl w:val="0EE845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C96136D"/>
    <w:multiLevelType w:val="hybridMultilevel"/>
    <w:tmpl w:val="6AAE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9E4716"/>
    <w:multiLevelType w:val="hybridMultilevel"/>
    <w:tmpl w:val="C1763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02908"/>
    <w:multiLevelType w:val="hybridMultilevel"/>
    <w:tmpl w:val="CA2E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8261B"/>
    <w:multiLevelType w:val="hybridMultilevel"/>
    <w:tmpl w:val="0276D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AF2230"/>
    <w:multiLevelType w:val="hybridMultilevel"/>
    <w:tmpl w:val="82F4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7936C2"/>
    <w:multiLevelType w:val="hybridMultilevel"/>
    <w:tmpl w:val="F176E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620A46"/>
    <w:multiLevelType w:val="hybridMultilevel"/>
    <w:tmpl w:val="14CEA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4C0CDD"/>
    <w:multiLevelType w:val="hybridMultilevel"/>
    <w:tmpl w:val="4ADE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F32532"/>
    <w:multiLevelType w:val="hybridMultilevel"/>
    <w:tmpl w:val="D64A6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12B37"/>
    <w:multiLevelType w:val="hybridMultilevel"/>
    <w:tmpl w:val="BDACE73A"/>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8F3523"/>
    <w:multiLevelType w:val="hybridMultilevel"/>
    <w:tmpl w:val="2EE2E54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C11039"/>
    <w:multiLevelType w:val="hybridMultilevel"/>
    <w:tmpl w:val="0E74F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CF1D1A"/>
    <w:multiLevelType w:val="hybridMultilevel"/>
    <w:tmpl w:val="C2BC2B2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52420713"/>
    <w:multiLevelType w:val="hybridMultilevel"/>
    <w:tmpl w:val="3A32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CD11F0"/>
    <w:multiLevelType w:val="hybridMultilevel"/>
    <w:tmpl w:val="9C4A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5D588F"/>
    <w:multiLevelType w:val="hybridMultilevel"/>
    <w:tmpl w:val="D374BF28"/>
    <w:lvl w:ilvl="0" w:tplc="08061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8E5AE9"/>
    <w:multiLevelType w:val="hybridMultilevel"/>
    <w:tmpl w:val="D62037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C7188D"/>
    <w:multiLevelType w:val="hybridMultilevel"/>
    <w:tmpl w:val="54FE0D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6538A3"/>
    <w:multiLevelType w:val="hybridMultilevel"/>
    <w:tmpl w:val="144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EE35CF"/>
    <w:multiLevelType w:val="hybridMultilevel"/>
    <w:tmpl w:val="F588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CE78D9"/>
    <w:multiLevelType w:val="hybridMultilevel"/>
    <w:tmpl w:val="FE28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000320"/>
    <w:multiLevelType w:val="hybridMultilevel"/>
    <w:tmpl w:val="19288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014AB3"/>
    <w:multiLevelType w:val="hybridMultilevel"/>
    <w:tmpl w:val="17CC4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4"/>
  </w:num>
  <w:num w:numId="4">
    <w:abstractNumId w:val="23"/>
  </w:num>
  <w:num w:numId="5">
    <w:abstractNumId w:val="0"/>
  </w:num>
  <w:num w:numId="6">
    <w:abstractNumId w:val="18"/>
  </w:num>
  <w:num w:numId="7">
    <w:abstractNumId w:val="22"/>
  </w:num>
  <w:num w:numId="8">
    <w:abstractNumId w:val="16"/>
  </w:num>
  <w:num w:numId="9">
    <w:abstractNumId w:val="1"/>
  </w:num>
  <w:num w:numId="10">
    <w:abstractNumId w:val="8"/>
  </w:num>
  <w:num w:numId="11">
    <w:abstractNumId w:val="10"/>
  </w:num>
  <w:num w:numId="12">
    <w:abstractNumId w:val="15"/>
  </w:num>
  <w:num w:numId="13">
    <w:abstractNumId w:val="25"/>
  </w:num>
  <w:num w:numId="14">
    <w:abstractNumId w:val="6"/>
  </w:num>
  <w:num w:numId="15">
    <w:abstractNumId w:val="13"/>
  </w:num>
  <w:num w:numId="16">
    <w:abstractNumId w:val="24"/>
  </w:num>
  <w:num w:numId="17">
    <w:abstractNumId w:val="20"/>
  </w:num>
  <w:num w:numId="18">
    <w:abstractNumId w:val="12"/>
  </w:num>
  <w:num w:numId="19">
    <w:abstractNumId w:val="11"/>
  </w:num>
  <w:num w:numId="20">
    <w:abstractNumId w:val="21"/>
  </w:num>
  <w:num w:numId="21">
    <w:abstractNumId w:val="7"/>
  </w:num>
  <w:num w:numId="22">
    <w:abstractNumId w:val="3"/>
  </w:num>
  <w:num w:numId="23">
    <w:abstractNumId w:val="5"/>
  </w:num>
  <w:num w:numId="24">
    <w:abstractNumId w:val="19"/>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DF1"/>
    <w:rsid w:val="0001438F"/>
    <w:rsid w:val="000177D4"/>
    <w:rsid w:val="00024E06"/>
    <w:rsid w:val="00025F26"/>
    <w:rsid w:val="00027561"/>
    <w:rsid w:val="00027FB2"/>
    <w:rsid w:val="00032029"/>
    <w:rsid w:val="00054900"/>
    <w:rsid w:val="000652EC"/>
    <w:rsid w:val="000675E6"/>
    <w:rsid w:val="00070B68"/>
    <w:rsid w:val="000760F2"/>
    <w:rsid w:val="0009279B"/>
    <w:rsid w:val="000A6DDF"/>
    <w:rsid w:val="000B526A"/>
    <w:rsid w:val="000C57A7"/>
    <w:rsid w:val="000E1797"/>
    <w:rsid w:val="000E7D8F"/>
    <w:rsid w:val="000F0CDA"/>
    <w:rsid w:val="00111960"/>
    <w:rsid w:val="00125B6D"/>
    <w:rsid w:val="0014383A"/>
    <w:rsid w:val="00143DAD"/>
    <w:rsid w:val="00157D96"/>
    <w:rsid w:val="0016701D"/>
    <w:rsid w:val="00175D16"/>
    <w:rsid w:val="00184EFD"/>
    <w:rsid w:val="00185CF4"/>
    <w:rsid w:val="00194E67"/>
    <w:rsid w:val="001A05D0"/>
    <w:rsid w:val="001A4EA7"/>
    <w:rsid w:val="001D1B54"/>
    <w:rsid w:val="001D2B05"/>
    <w:rsid w:val="001D5008"/>
    <w:rsid w:val="001D5DE2"/>
    <w:rsid w:val="001E197F"/>
    <w:rsid w:val="001E70E4"/>
    <w:rsid w:val="001F36BB"/>
    <w:rsid w:val="001F4E2A"/>
    <w:rsid w:val="00212F94"/>
    <w:rsid w:val="0021721D"/>
    <w:rsid w:val="00231164"/>
    <w:rsid w:val="00232E74"/>
    <w:rsid w:val="0023473A"/>
    <w:rsid w:val="00251596"/>
    <w:rsid w:val="0025379A"/>
    <w:rsid w:val="0027141A"/>
    <w:rsid w:val="00274899"/>
    <w:rsid w:val="00276EBE"/>
    <w:rsid w:val="00281E3B"/>
    <w:rsid w:val="00286081"/>
    <w:rsid w:val="00292D26"/>
    <w:rsid w:val="00296094"/>
    <w:rsid w:val="00297360"/>
    <w:rsid w:val="002A2355"/>
    <w:rsid w:val="002B2861"/>
    <w:rsid w:val="002B43B1"/>
    <w:rsid w:val="002C5A5B"/>
    <w:rsid w:val="00313029"/>
    <w:rsid w:val="00323F89"/>
    <w:rsid w:val="0033230B"/>
    <w:rsid w:val="00340D34"/>
    <w:rsid w:val="00341C67"/>
    <w:rsid w:val="0034292E"/>
    <w:rsid w:val="0035075D"/>
    <w:rsid w:val="00374E54"/>
    <w:rsid w:val="00377D97"/>
    <w:rsid w:val="00391C29"/>
    <w:rsid w:val="00396A0D"/>
    <w:rsid w:val="003B519B"/>
    <w:rsid w:val="003C3C0C"/>
    <w:rsid w:val="003C6388"/>
    <w:rsid w:val="003E43D4"/>
    <w:rsid w:val="003E6BFA"/>
    <w:rsid w:val="003F559C"/>
    <w:rsid w:val="00406C66"/>
    <w:rsid w:val="00410630"/>
    <w:rsid w:val="00412A62"/>
    <w:rsid w:val="0043025D"/>
    <w:rsid w:val="00430634"/>
    <w:rsid w:val="004306E1"/>
    <w:rsid w:val="0044505C"/>
    <w:rsid w:val="00453EB0"/>
    <w:rsid w:val="00461AEA"/>
    <w:rsid w:val="004A0709"/>
    <w:rsid w:val="004A7C72"/>
    <w:rsid w:val="004B1FC0"/>
    <w:rsid w:val="004B3347"/>
    <w:rsid w:val="004E6A71"/>
    <w:rsid w:val="00504DDA"/>
    <w:rsid w:val="0050661B"/>
    <w:rsid w:val="00511D46"/>
    <w:rsid w:val="005151D7"/>
    <w:rsid w:val="00521921"/>
    <w:rsid w:val="00524B06"/>
    <w:rsid w:val="0053099B"/>
    <w:rsid w:val="00534F0A"/>
    <w:rsid w:val="00535CF5"/>
    <w:rsid w:val="005625F2"/>
    <w:rsid w:val="00581E26"/>
    <w:rsid w:val="005820B2"/>
    <w:rsid w:val="005844DB"/>
    <w:rsid w:val="00584BE8"/>
    <w:rsid w:val="005A0E78"/>
    <w:rsid w:val="005A25DA"/>
    <w:rsid w:val="005A7AEC"/>
    <w:rsid w:val="005B3D72"/>
    <w:rsid w:val="005B6063"/>
    <w:rsid w:val="005B644F"/>
    <w:rsid w:val="005C0871"/>
    <w:rsid w:val="005C6AB0"/>
    <w:rsid w:val="005D1770"/>
    <w:rsid w:val="005E0BE8"/>
    <w:rsid w:val="00600DDA"/>
    <w:rsid w:val="006054DE"/>
    <w:rsid w:val="00610C66"/>
    <w:rsid w:val="006213C5"/>
    <w:rsid w:val="00624C93"/>
    <w:rsid w:val="0062528D"/>
    <w:rsid w:val="0062691C"/>
    <w:rsid w:val="006400C4"/>
    <w:rsid w:val="00641EF8"/>
    <w:rsid w:val="00650068"/>
    <w:rsid w:val="0065609E"/>
    <w:rsid w:val="00680A60"/>
    <w:rsid w:val="006821FE"/>
    <w:rsid w:val="006866EF"/>
    <w:rsid w:val="00691DF1"/>
    <w:rsid w:val="00692109"/>
    <w:rsid w:val="006B240C"/>
    <w:rsid w:val="006B50D9"/>
    <w:rsid w:val="006D19FC"/>
    <w:rsid w:val="006D2A47"/>
    <w:rsid w:val="006F7C72"/>
    <w:rsid w:val="00703E8E"/>
    <w:rsid w:val="0070730F"/>
    <w:rsid w:val="00714748"/>
    <w:rsid w:val="00720073"/>
    <w:rsid w:val="00737A11"/>
    <w:rsid w:val="00774244"/>
    <w:rsid w:val="00776702"/>
    <w:rsid w:val="007773B8"/>
    <w:rsid w:val="0077757B"/>
    <w:rsid w:val="00794F60"/>
    <w:rsid w:val="007969D1"/>
    <w:rsid w:val="007A6511"/>
    <w:rsid w:val="007C7EAB"/>
    <w:rsid w:val="007D5234"/>
    <w:rsid w:val="007D5703"/>
    <w:rsid w:val="007E4C68"/>
    <w:rsid w:val="007F25A6"/>
    <w:rsid w:val="00800542"/>
    <w:rsid w:val="00801E8E"/>
    <w:rsid w:val="00812F3B"/>
    <w:rsid w:val="0083000E"/>
    <w:rsid w:val="00830B40"/>
    <w:rsid w:val="008354AC"/>
    <w:rsid w:val="00835AA6"/>
    <w:rsid w:val="00847F9C"/>
    <w:rsid w:val="00866E53"/>
    <w:rsid w:val="0089641B"/>
    <w:rsid w:val="008A6188"/>
    <w:rsid w:val="008C0755"/>
    <w:rsid w:val="008E4310"/>
    <w:rsid w:val="008E4AF5"/>
    <w:rsid w:val="008E64B8"/>
    <w:rsid w:val="008F1DE6"/>
    <w:rsid w:val="008F7FC5"/>
    <w:rsid w:val="00920B50"/>
    <w:rsid w:val="009316F6"/>
    <w:rsid w:val="0093627D"/>
    <w:rsid w:val="009365E8"/>
    <w:rsid w:val="00954011"/>
    <w:rsid w:val="00956F12"/>
    <w:rsid w:val="009723E3"/>
    <w:rsid w:val="00972584"/>
    <w:rsid w:val="00982E6E"/>
    <w:rsid w:val="009958C8"/>
    <w:rsid w:val="009B5467"/>
    <w:rsid w:val="009B588D"/>
    <w:rsid w:val="009C12CE"/>
    <w:rsid w:val="009C34F3"/>
    <w:rsid w:val="009D708C"/>
    <w:rsid w:val="009F0098"/>
    <w:rsid w:val="009F6F69"/>
    <w:rsid w:val="009F7DE7"/>
    <w:rsid w:val="00A24B06"/>
    <w:rsid w:val="00A25035"/>
    <w:rsid w:val="00A34BAE"/>
    <w:rsid w:val="00A36DE3"/>
    <w:rsid w:val="00A45FA7"/>
    <w:rsid w:val="00A743EF"/>
    <w:rsid w:val="00A84FA8"/>
    <w:rsid w:val="00A85C40"/>
    <w:rsid w:val="00AB4DED"/>
    <w:rsid w:val="00AC23F2"/>
    <w:rsid w:val="00AD091F"/>
    <w:rsid w:val="00AE667E"/>
    <w:rsid w:val="00B40736"/>
    <w:rsid w:val="00B411C5"/>
    <w:rsid w:val="00B41AD9"/>
    <w:rsid w:val="00B4407A"/>
    <w:rsid w:val="00B4761E"/>
    <w:rsid w:val="00B54928"/>
    <w:rsid w:val="00B57C17"/>
    <w:rsid w:val="00B71A01"/>
    <w:rsid w:val="00B7297F"/>
    <w:rsid w:val="00B73CB4"/>
    <w:rsid w:val="00B91831"/>
    <w:rsid w:val="00BF6C61"/>
    <w:rsid w:val="00C06274"/>
    <w:rsid w:val="00C12D14"/>
    <w:rsid w:val="00C26F4B"/>
    <w:rsid w:val="00C27026"/>
    <w:rsid w:val="00C46036"/>
    <w:rsid w:val="00C51B1E"/>
    <w:rsid w:val="00C5450E"/>
    <w:rsid w:val="00C56D27"/>
    <w:rsid w:val="00C57938"/>
    <w:rsid w:val="00C60C33"/>
    <w:rsid w:val="00C63879"/>
    <w:rsid w:val="00C7555C"/>
    <w:rsid w:val="00C80BAD"/>
    <w:rsid w:val="00C83A6C"/>
    <w:rsid w:val="00C85694"/>
    <w:rsid w:val="00C87327"/>
    <w:rsid w:val="00C9468A"/>
    <w:rsid w:val="00CA642B"/>
    <w:rsid w:val="00CB4E3B"/>
    <w:rsid w:val="00CB794E"/>
    <w:rsid w:val="00CC0CD1"/>
    <w:rsid w:val="00CD7FDA"/>
    <w:rsid w:val="00D13C7F"/>
    <w:rsid w:val="00D3451B"/>
    <w:rsid w:val="00D565D0"/>
    <w:rsid w:val="00D70715"/>
    <w:rsid w:val="00D730C4"/>
    <w:rsid w:val="00D73CDB"/>
    <w:rsid w:val="00D929A1"/>
    <w:rsid w:val="00D938A3"/>
    <w:rsid w:val="00DA540F"/>
    <w:rsid w:val="00DA5DCC"/>
    <w:rsid w:val="00DB33B5"/>
    <w:rsid w:val="00DB6DA3"/>
    <w:rsid w:val="00DC0B9F"/>
    <w:rsid w:val="00DC0D61"/>
    <w:rsid w:val="00DD1982"/>
    <w:rsid w:val="00DD32F8"/>
    <w:rsid w:val="00DE1F5A"/>
    <w:rsid w:val="00E033D3"/>
    <w:rsid w:val="00E2721C"/>
    <w:rsid w:val="00E71D46"/>
    <w:rsid w:val="00E727C0"/>
    <w:rsid w:val="00E818E7"/>
    <w:rsid w:val="00EA3140"/>
    <w:rsid w:val="00EC7ABC"/>
    <w:rsid w:val="00ED6614"/>
    <w:rsid w:val="00EE0D0B"/>
    <w:rsid w:val="00EE1195"/>
    <w:rsid w:val="00EE503F"/>
    <w:rsid w:val="00EF20D7"/>
    <w:rsid w:val="00EF443E"/>
    <w:rsid w:val="00F00D81"/>
    <w:rsid w:val="00F043BC"/>
    <w:rsid w:val="00F225B1"/>
    <w:rsid w:val="00F57202"/>
    <w:rsid w:val="00F61191"/>
    <w:rsid w:val="00F62135"/>
    <w:rsid w:val="00F63E40"/>
    <w:rsid w:val="00F81CE9"/>
    <w:rsid w:val="00F86A64"/>
    <w:rsid w:val="00F90075"/>
    <w:rsid w:val="00F918B9"/>
    <w:rsid w:val="00FA1492"/>
    <w:rsid w:val="00FB2C85"/>
    <w:rsid w:val="00FC3972"/>
    <w:rsid w:val="00FC528D"/>
    <w:rsid w:val="00FD50DF"/>
    <w:rsid w:val="00FD7C96"/>
    <w:rsid w:val="00FE07F2"/>
    <w:rsid w:val="00FE2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D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customStyle="1" w:styleId="BasicParagraph">
    <w:name w:val="[Basic Paragraph]"/>
    <w:basedOn w:val="Normal"/>
    <w:uiPriority w:val="99"/>
    <w:rsid w:val="001A05D0"/>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FooterChar">
    <w:name w:val="Footer Char"/>
    <w:basedOn w:val="DefaultParagraphFont"/>
    <w:link w:val="Footer"/>
    <w:uiPriority w:val="99"/>
    <w:rsid w:val="00691DF1"/>
    <w:rPr>
      <w:sz w:val="24"/>
      <w:szCs w:val="24"/>
    </w:rPr>
  </w:style>
  <w:style w:type="paragraph" w:styleId="ListParagraph">
    <w:name w:val="List Paragraph"/>
    <w:basedOn w:val="Normal"/>
    <w:uiPriority w:val="34"/>
    <w:qFormat/>
    <w:rsid w:val="00F81CE9"/>
    <w:pPr>
      <w:ind w:left="720"/>
      <w:contextualSpacing/>
    </w:pPr>
  </w:style>
  <w:style w:type="table" w:styleId="TableGrid">
    <w:name w:val="Table Grid"/>
    <w:basedOn w:val="TableNormal"/>
    <w:uiPriority w:val="59"/>
    <w:rsid w:val="00CA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3202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03202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unhideWhenUsed/>
    <w:rsid w:val="00FD7C96"/>
    <w:rPr>
      <w:sz w:val="20"/>
      <w:szCs w:val="20"/>
    </w:rPr>
  </w:style>
  <w:style w:type="character" w:customStyle="1" w:styleId="FootnoteTextChar">
    <w:name w:val="Footnote Text Char"/>
    <w:basedOn w:val="DefaultParagraphFont"/>
    <w:link w:val="FootnoteText"/>
    <w:uiPriority w:val="99"/>
    <w:rsid w:val="00FD7C96"/>
  </w:style>
  <w:style w:type="character" w:styleId="FootnoteReference">
    <w:name w:val="footnote reference"/>
    <w:basedOn w:val="DefaultParagraphFont"/>
    <w:uiPriority w:val="99"/>
    <w:semiHidden/>
    <w:unhideWhenUsed/>
    <w:rsid w:val="00FD7C96"/>
    <w:rPr>
      <w:vertAlign w:val="superscript"/>
    </w:rPr>
  </w:style>
  <w:style w:type="character" w:styleId="Hyperlink">
    <w:name w:val="Hyperlink"/>
    <w:basedOn w:val="DefaultParagraphFont"/>
    <w:uiPriority w:val="99"/>
    <w:unhideWhenUsed/>
    <w:rsid w:val="00412A62"/>
    <w:rPr>
      <w:color w:val="0000FF" w:themeColor="hyperlink"/>
      <w:u w:val="single"/>
    </w:rPr>
  </w:style>
  <w:style w:type="character" w:styleId="CommentReference">
    <w:name w:val="annotation reference"/>
    <w:basedOn w:val="DefaultParagraphFont"/>
    <w:uiPriority w:val="99"/>
    <w:semiHidden/>
    <w:unhideWhenUsed/>
    <w:rsid w:val="00B411C5"/>
    <w:rPr>
      <w:sz w:val="16"/>
      <w:szCs w:val="16"/>
    </w:rPr>
  </w:style>
  <w:style w:type="paragraph" w:styleId="CommentText">
    <w:name w:val="annotation text"/>
    <w:basedOn w:val="Normal"/>
    <w:link w:val="CommentTextChar"/>
    <w:uiPriority w:val="99"/>
    <w:semiHidden/>
    <w:unhideWhenUsed/>
    <w:rsid w:val="00B411C5"/>
    <w:rPr>
      <w:sz w:val="20"/>
      <w:szCs w:val="20"/>
    </w:rPr>
  </w:style>
  <w:style w:type="character" w:customStyle="1" w:styleId="CommentTextChar">
    <w:name w:val="Comment Text Char"/>
    <w:basedOn w:val="DefaultParagraphFont"/>
    <w:link w:val="CommentText"/>
    <w:uiPriority w:val="99"/>
    <w:semiHidden/>
    <w:rsid w:val="00B411C5"/>
  </w:style>
  <w:style w:type="paragraph" w:styleId="CommentSubject">
    <w:name w:val="annotation subject"/>
    <w:basedOn w:val="CommentText"/>
    <w:next w:val="CommentText"/>
    <w:link w:val="CommentSubjectChar"/>
    <w:uiPriority w:val="99"/>
    <w:semiHidden/>
    <w:unhideWhenUsed/>
    <w:rsid w:val="00B411C5"/>
    <w:rPr>
      <w:b/>
      <w:bCs/>
    </w:rPr>
  </w:style>
  <w:style w:type="character" w:customStyle="1" w:styleId="CommentSubjectChar">
    <w:name w:val="Comment Subject Char"/>
    <w:basedOn w:val="CommentTextChar"/>
    <w:link w:val="CommentSubject"/>
    <w:uiPriority w:val="99"/>
    <w:semiHidden/>
    <w:rsid w:val="00B411C5"/>
    <w:rPr>
      <w:b/>
      <w:bCs/>
    </w:rPr>
  </w:style>
  <w:style w:type="paragraph" w:styleId="NormalWeb">
    <w:name w:val="Normal (Web)"/>
    <w:basedOn w:val="Normal"/>
    <w:uiPriority w:val="99"/>
    <w:semiHidden/>
    <w:unhideWhenUsed/>
    <w:rsid w:val="005C6AB0"/>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CB4E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D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2C49"/>
    <w:rPr>
      <w:rFonts w:ascii="Lucida Grande" w:hAnsi="Lucida Grande"/>
      <w:sz w:val="18"/>
      <w:szCs w:val="18"/>
    </w:rPr>
  </w:style>
  <w:style w:type="paragraph" w:styleId="Header">
    <w:name w:val="header"/>
    <w:basedOn w:val="Normal"/>
    <w:rsid w:val="007A5533"/>
    <w:pPr>
      <w:tabs>
        <w:tab w:val="center" w:pos="4320"/>
        <w:tab w:val="right" w:pos="8640"/>
      </w:tabs>
    </w:pPr>
  </w:style>
  <w:style w:type="paragraph" w:styleId="Footer">
    <w:name w:val="footer"/>
    <w:basedOn w:val="Normal"/>
    <w:link w:val="FooterChar"/>
    <w:uiPriority w:val="99"/>
    <w:rsid w:val="007A5533"/>
    <w:pPr>
      <w:tabs>
        <w:tab w:val="center" w:pos="4320"/>
        <w:tab w:val="right" w:pos="8640"/>
      </w:tabs>
    </w:pPr>
  </w:style>
  <w:style w:type="paragraph" w:customStyle="1" w:styleId="BasicParagraph">
    <w:name w:val="[Basic Paragraph]"/>
    <w:basedOn w:val="Normal"/>
    <w:uiPriority w:val="99"/>
    <w:rsid w:val="001A05D0"/>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FooterChar">
    <w:name w:val="Footer Char"/>
    <w:basedOn w:val="DefaultParagraphFont"/>
    <w:link w:val="Footer"/>
    <w:uiPriority w:val="99"/>
    <w:rsid w:val="00691DF1"/>
    <w:rPr>
      <w:sz w:val="24"/>
      <w:szCs w:val="24"/>
    </w:rPr>
  </w:style>
  <w:style w:type="paragraph" w:styleId="ListParagraph">
    <w:name w:val="List Paragraph"/>
    <w:basedOn w:val="Normal"/>
    <w:uiPriority w:val="34"/>
    <w:qFormat/>
    <w:rsid w:val="00F81CE9"/>
    <w:pPr>
      <w:ind w:left="720"/>
      <w:contextualSpacing/>
    </w:pPr>
  </w:style>
  <w:style w:type="table" w:styleId="TableGrid">
    <w:name w:val="Table Grid"/>
    <w:basedOn w:val="TableNormal"/>
    <w:uiPriority w:val="59"/>
    <w:rsid w:val="00CA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3202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03202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unhideWhenUsed/>
    <w:rsid w:val="00FD7C96"/>
    <w:rPr>
      <w:sz w:val="20"/>
      <w:szCs w:val="20"/>
    </w:rPr>
  </w:style>
  <w:style w:type="character" w:customStyle="1" w:styleId="FootnoteTextChar">
    <w:name w:val="Footnote Text Char"/>
    <w:basedOn w:val="DefaultParagraphFont"/>
    <w:link w:val="FootnoteText"/>
    <w:uiPriority w:val="99"/>
    <w:rsid w:val="00FD7C96"/>
  </w:style>
  <w:style w:type="character" w:styleId="FootnoteReference">
    <w:name w:val="footnote reference"/>
    <w:basedOn w:val="DefaultParagraphFont"/>
    <w:uiPriority w:val="99"/>
    <w:semiHidden/>
    <w:unhideWhenUsed/>
    <w:rsid w:val="00FD7C96"/>
    <w:rPr>
      <w:vertAlign w:val="superscript"/>
    </w:rPr>
  </w:style>
  <w:style w:type="character" w:styleId="Hyperlink">
    <w:name w:val="Hyperlink"/>
    <w:basedOn w:val="DefaultParagraphFont"/>
    <w:uiPriority w:val="99"/>
    <w:unhideWhenUsed/>
    <w:rsid w:val="00412A62"/>
    <w:rPr>
      <w:color w:val="0000FF" w:themeColor="hyperlink"/>
      <w:u w:val="single"/>
    </w:rPr>
  </w:style>
  <w:style w:type="character" w:styleId="CommentReference">
    <w:name w:val="annotation reference"/>
    <w:basedOn w:val="DefaultParagraphFont"/>
    <w:uiPriority w:val="99"/>
    <w:semiHidden/>
    <w:unhideWhenUsed/>
    <w:rsid w:val="00B411C5"/>
    <w:rPr>
      <w:sz w:val="16"/>
      <w:szCs w:val="16"/>
    </w:rPr>
  </w:style>
  <w:style w:type="paragraph" w:styleId="CommentText">
    <w:name w:val="annotation text"/>
    <w:basedOn w:val="Normal"/>
    <w:link w:val="CommentTextChar"/>
    <w:uiPriority w:val="99"/>
    <w:semiHidden/>
    <w:unhideWhenUsed/>
    <w:rsid w:val="00B411C5"/>
    <w:rPr>
      <w:sz w:val="20"/>
      <w:szCs w:val="20"/>
    </w:rPr>
  </w:style>
  <w:style w:type="character" w:customStyle="1" w:styleId="CommentTextChar">
    <w:name w:val="Comment Text Char"/>
    <w:basedOn w:val="DefaultParagraphFont"/>
    <w:link w:val="CommentText"/>
    <w:uiPriority w:val="99"/>
    <w:semiHidden/>
    <w:rsid w:val="00B411C5"/>
  </w:style>
  <w:style w:type="paragraph" w:styleId="CommentSubject">
    <w:name w:val="annotation subject"/>
    <w:basedOn w:val="CommentText"/>
    <w:next w:val="CommentText"/>
    <w:link w:val="CommentSubjectChar"/>
    <w:uiPriority w:val="99"/>
    <w:semiHidden/>
    <w:unhideWhenUsed/>
    <w:rsid w:val="00B411C5"/>
    <w:rPr>
      <w:b/>
      <w:bCs/>
    </w:rPr>
  </w:style>
  <w:style w:type="character" w:customStyle="1" w:styleId="CommentSubjectChar">
    <w:name w:val="Comment Subject Char"/>
    <w:basedOn w:val="CommentTextChar"/>
    <w:link w:val="CommentSubject"/>
    <w:uiPriority w:val="99"/>
    <w:semiHidden/>
    <w:rsid w:val="00B411C5"/>
    <w:rPr>
      <w:b/>
      <w:bCs/>
    </w:rPr>
  </w:style>
  <w:style w:type="paragraph" w:styleId="NormalWeb">
    <w:name w:val="Normal (Web)"/>
    <w:basedOn w:val="Normal"/>
    <w:uiPriority w:val="99"/>
    <w:semiHidden/>
    <w:unhideWhenUsed/>
    <w:rsid w:val="005C6AB0"/>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CB4E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5674">
      <w:bodyDiv w:val="1"/>
      <w:marLeft w:val="0"/>
      <w:marRight w:val="0"/>
      <w:marTop w:val="0"/>
      <w:marBottom w:val="0"/>
      <w:divBdr>
        <w:top w:val="none" w:sz="0" w:space="0" w:color="auto"/>
        <w:left w:val="none" w:sz="0" w:space="0" w:color="auto"/>
        <w:bottom w:val="none" w:sz="0" w:space="0" w:color="auto"/>
        <w:right w:val="none" w:sz="0" w:space="0" w:color="auto"/>
      </w:divBdr>
    </w:div>
    <w:div w:id="86972312">
      <w:bodyDiv w:val="1"/>
      <w:marLeft w:val="0"/>
      <w:marRight w:val="0"/>
      <w:marTop w:val="0"/>
      <w:marBottom w:val="0"/>
      <w:divBdr>
        <w:top w:val="none" w:sz="0" w:space="0" w:color="auto"/>
        <w:left w:val="none" w:sz="0" w:space="0" w:color="auto"/>
        <w:bottom w:val="none" w:sz="0" w:space="0" w:color="auto"/>
        <w:right w:val="none" w:sz="0" w:space="0" w:color="auto"/>
      </w:divBdr>
    </w:div>
    <w:div w:id="533814404">
      <w:bodyDiv w:val="1"/>
      <w:marLeft w:val="0"/>
      <w:marRight w:val="0"/>
      <w:marTop w:val="0"/>
      <w:marBottom w:val="0"/>
      <w:divBdr>
        <w:top w:val="none" w:sz="0" w:space="0" w:color="auto"/>
        <w:left w:val="none" w:sz="0" w:space="0" w:color="auto"/>
        <w:bottom w:val="none" w:sz="0" w:space="0" w:color="auto"/>
        <w:right w:val="none" w:sz="0" w:space="0" w:color="auto"/>
      </w:divBdr>
    </w:div>
    <w:div w:id="654796378">
      <w:bodyDiv w:val="1"/>
      <w:marLeft w:val="0"/>
      <w:marRight w:val="0"/>
      <w:marTop w:val="0"/>
      <w:marBottom w:val="0"/>
      <w:divBdr>
        <w:top w:val="none" w:sz="0" w:space="0" w:color="auto"/>
        <w:left w:val="none" w:sz="0" w:space="0" w:color="auto"/>
        <w:bottom w:val="none" w:sz="0" w:space="0" w:color="auto"/>
        <w:right w:val="none" w:sz="0" w:space="0" w:color="auto"/>
      </w:divBdr>
    </w:div>
    <w:div w:id="705449655">
      <w:bodyDiv w:val="1"/>
      <w:marLeft w:val="0"/>
      <w:marRight w:val="0"/>
      <w:marTop w:val="0"/>
      <w:marBottom w:val="0"/>
      <w:divBdr>
        <w:top w:val="none" w:sz="0" w:space="0" w:color="auto"/>
        <w:left w:val="none" w:sz="0" w:space="0" w:color="auto"/>
        <w:bottom w:val="none" w:sz="0" w:space="0" w:color="auto"/>
        <w:right w:val="none" w:sz="0" w:space="0" w:color="auto"/>
      </w:divBdr>
    </w:div>
    <w:div w:id="789398676">
      <w:bodyDiv w:val="1"/>
      <w:marLeft w:val="0"/>
      <w:marRight w:val="0"/>
      <w:marTop w:val="0"/>
      <w:marBottom w:val="0"/>
      <w:divBdr>
        <w:top w:val="none" w:sz="0" w:space="0" w:color="auto"/>
        <w:left w:val="none" w:sz="0" w:space="0" w:color="auto"/>
        <w:bottom w:val="none" w:sz="0" w:space="0" w:color="auto"/>
        <w:right w:val="none" w:sz="0" w:space="0" w:color="auto"/>
      </w:divBdr>
    </w:div>
    <w:div w:id="1027145755">
      <w:bodyDiv w:val="1"/>
      <w:marLeft w:val="0"/>
      <w:marRight w:val="0"/>
      <w:marTop w:val="0"/>
      <w:marBottom w:val="0"/>
      <w:divBdr>
        <w:top w:val="none" w:sz="0" w:space="0" w:color="auto"/>
        <w:left w:val="none" w:sz="0" w:space="0" w:color="auto"/>
        <w:bottom w:val="none" w:sz="0" w:space="0" w:color="auto"/>
        <w:right w:val="none" w:sz="0" w:space="0" w:color="auto"/>
      </w:divBdr>
    </w:div>
    <w:div w:id="1042053024">
      <w:bodyDiv w:val="1"/>
      <w:marLeft w:val="0"/>
      <w:marRight w:val="0"/>
      <w:marTop w:val="0"/>
      <w:marBottom w:val="0"/>
      <w:divBdr>
        <w:top w:val="none" w:sz="0" w:space="0" w:color="auto"/>
        <w:left w:val="none" w:sz="0" w:space="0" w:color="auto"/>
        <w:bottom w:val="none" w:sz="0" w:space="0" w:color="auto"/>
        <w:right w:val="none" w:sz="0" w:space="0" w:color="auto"/>
      </w:divBdr>
    </w:div>
    <w:div w:id="1102069374">
      <w:bodyDiv w:val="1"/>
      <w:marLeft w:val="0"/>
      <w:marRight w:val="0"/>
      <w:marTop w:val="0"/>
      <w:marBottom w:val="0"/>
      <w:divBdr>
        <w:top w:val="none" w:sz="0" w:space="0" w:color="auto"/>
        <w:left w:val="none" w:sz="0" w:space="0" w:color="auto"/>
        <w:bottom w:val="none" w:sz="0" w:space="0" w:color="auto"/>
        <w:right w:val="none" w:sz="0" w:space="0" w:color="auto"/>
      </w:divBdr>
    </w:div>
    <w:div w:id="1398630784">
      <w:bodyDiv w:val="1"/>
      <w:marLeft w:val="0"/>
      <w:marRight w:val="0"/>
      <w:marTop w:val="0"/>
      <w:marBottom w:val="0"/>
      <w:divBdr>
        <w:top w:val="none" w:sz="0" w:space="0" w:color="auto"/>
        <w:left w:val="none" w:sz="0" w:space="0" w:color="auto"/>
        <w:bottom w:val="none" w:sz="0" w:space="0" w:color="auto"/>
        <w:right w:val="none" w:sz="0" w:space="0" w:color="auto"/>
      </w:divBdr>
    </w:div>
    <w:div w:id="1437016796">
      <w:bodyDiv w:val="1"/>
      <w:marLeft w:val="0"/>
      <w:marRight w:val="0"/>
      <w:marTop w:val="0"/>
      <w:marBottom w:val="0"/>
      <w:divBdr>
        <w:top w:val="none" w:sz="0" w:space="0" w:color="auto"/>
        <w:left w:val="none" w:sz="0" w:space="0" w:color="auto"/>
        <w:bottom w:val="none" w:sz="0" w:space="0" w:color="auto"/>
        <w:right w:val="none" w:sz="0" w:space="0" w:color="auto"/>
      </w:divBdr>
    </w:div>
    <w:div w:id="1472282038">
      <w:bodyDiv w:val="1"/>
      <w:marLeft w:val="0"/>
      <w:marRight w:val="0"/>
      <w:marTop w:val="0"/>
      <w:marBottom w:val="0"/>
      <w:divBdr>
        <w:top w:val="none" w:sz="0" w:space="0" w:color="auto"/>
        <w:left w:val="none" w:sz="0" w:space="0" w:color="auto"/>
        <w:bottom w:val="none" w:sz="0" w:space="0" w:color="auto"/>
        <w:right w:val="none" w:sz="0" w:space="0" w:color="auto"/>
      </w:divBdr>
    </w:div>
    <w:div w:id="1652785071">
      <w:bodyDiv w:val="1"/>
      <w:marLeft w:val="0"/>
      <w:marRight w:val="0"/>
      <w:marTop w:val="0"/>
      <w:marBottom w:val="0"/>
      <w:divBdr>
        <w:top w:val="none" w:sz="0" w:space="0" w:color="auto"/>
        <w:left w:val="none" w:sz="0" w:space="0" w:color="auto"/>
        <w:bottom w:val="none" w:sz="0" w:space="0" w:color="auto"/>
        <w:right w:val="none" w:sz="0" w:space="0" w:color="auto"/>
      </w:divBdr>
    </w:div>
    <w:div w:id="1657805761">
      <w:bodyDiv w:val="1"/>
      <w:marLeft w:val="0"/>
      <w:marRight w:val="0"/>
      <w:marTop w:val="0"/>
      <w:marBottom w:val="0"/>
      <w:divBdr>
        <w:top w:val="none" w:sz="0" w:space="0" w:color="auto"/>
        <w:left w:val="none" w:sz="0" w:space="0" w:color="auto"/>
        <w:bottom w:val="none" w:sz="0" w:space="0" w:color="auto"/>
        <w:right w:val="none" w:sz="0" w:space="0" w:color="auto"/>
      </w:divBdr>
    </w:div>
    <w:div w:id="1929997201">
      <w:bodyDiv w:val="1"/>
      <w:marLeft w:val="0"/>
      <w:marRight w:val="0"/>
      <w:marTop w:val="0"/>
      <w:marBottom w:val="0"/>
      <w:divBdr>
        <w:top w:val="none" w:sz="0" w:space="0" w:color="auto"/>
        <w:left w:val="none" w:sz="0" w:space="0" w:color="auto"/>
        <w:bottom w:val="none" w:sz="0" w:space="0" w:color="auto"/>
        <w:right w:val="none" w:sz="0" w:space="0" w:color="auto"/>
      </w:divBdr>
    </w:div>
    <w:div w:id="1956869226">
      <w:bodyDiv w:val="1"/>
      <w:marLeft w:val="0"/>
      <w:marRight w:val="0"/>
      <w:marTop w:val="0"/>
      <w:marBottom w:val="0"/>
      <w:divBdr>
        <w:top w:val="none" w:sz="0" w:space="0" w:color="auto"/>
        <w:left w:val="none" w:sz="0" w:space="0" w:color="auto"/>
        <w:bottom w:val="none" w:sz="0" w:space="0" w:color="auto"/>
        <w:right w:val="none" w:sz="0" w:space="0" w:color="auto"/>
      </w:divBdr>
    </w:div>
    <w:div w:id="1981961758">
      <w:bodyDiv w:val="1"/>
      <w:marLeft w:val="0"/>
      <w:marRight w:val="0"/>
      <w:marTop w:val="0"/>
      <w:marBottom w:val="0"/>
      <w:divBdr>
        <w:top w:val="none" w:sz="0" w:space="0" w:color="auto"/>
        <w:left w:val="none" w:sz="0" w:space="0" w:color="auto"/>
        <w:bottom w:val="none" w:sz="0" w:space="0" w:color="auto"/>
        <w:right w:val="none" w:sz="0" w:space="0" w:color="auto"/>
      </w:divBdr>
    </w:div>
    <w:div w:id="1998996629">
      <w:bodyDiv w:val="1"/>
      <w:marLeft w:val="0"/>
      <w:marRight w:val="0"/>
      <w:marTop w:val="0"/>
      <w:marBottom w:val="0"/>
      <w:divBdr>
        <w:top w:val="none" w:sz="0" w:space="0" w:color="auto"/>
        <w:left w:val="none" w:sz="0" w:space="0" w:color="auto"/>
        <w:bottom w:val="none" w:sz="0" w:space="0" w:color="auto"/>
        <w:right w:val="none" w:sz="0" w:space="0" w:color="auto"/>
      </w:divBdr>
    </w:div>
    <w:div w:id="2032413674">
      <w:bodyDiv w:val="1"/>
      <w:marLeft w:val="0"/>
      <w:marRight w:val="0"/>
      <w:marTop w:val="0"/>
      <w:marBottom w:val="0"/>
      <w:divBdr>
        <w:top w:val="none" w:sz="0" w:space="0" w:color="auto"/>
        <w:left w:val="none" w:sz="0" w:space="0" w:color="auto"/>
        <w:bottom w:val="none" w:sz="0" w:space="0" w:color="auto"/>
        <w:right w:val="none" w:sz="0" w:space="0" w:color="auto"/>
      </w:divBdr>
    </w:div>
    <w:div w:id="2070691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hiamass.gov/assets/docs/r/pubs/16/RP-Methodology-Paper-9-15-16.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hiamass.gov/assets/docs/r/pubs/16/RP-Methodology-Paper-9-15-16.pdf" TargetMode="External"/><Relationship Id="rId1" Type="http://schemas.openxmlformats.org/officeDocument/2006/relationships/hyperlink" Target="https://malegislature.gov/Laws/SessionLaws/Acts/2016/Chapter1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4CA05-7F47-4178-A9FE-48481E9C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1287</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Oliver Wyman</Company>
  <LinksUpToDate>false</LinksUpToDate>
  <CharactersWithSpaces>8761</CharactersWithSpaces>
  <SharedDoc>false</SharedDoc>
  <HLinks>
    <vt:vector size="6" baseType="variant">
      <vt:variant>
        <vt:i4>655461</vt:i4>
      </vt:variant>
      <vt:variant>
        <vt:i4>-1</vt:i4>
      </vt:variant>
      <vt:variant>
        <vt:i4>2049</vt:i4>
      </vt:variant>
      <vt:variant>
        <vt:i4>1</vt:i4>
      </vt:variant>
      <vt:variant>
        <vt:lpwstr>signatureLOGO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Po-Yu</dc:creator>
  <cp:lastModifiedBy>Sullivan, Caitlin</cp:lastModifiedBy>
  <cp:revision>3</cp:revision>
  <cp:lastPrinted>2016-10-24T18:44:00Z</cp:lastPrinted>
  <dcterms:created xsi:type="dcterms:W3CDTF">2017-01-12T13:50:00Z</dcterms:created>
  <dcterms:modified xsi:type="dcterms:W3CDTF">2017-01-12T13:51:00Z</dcterms:modified>
</cp:coreProperties>
</file>