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E64A" w14:textId="07C68D4B" w:rsidR="00BE1CE4" w:rsidRPr="00BE1CE4" w:rsidRDefault="00BE1CE4" w:rsidP="00BE1CE4">
      <w:pPr>
        <w:tabs>
          <w:tab w:val="left" w:pos="-720"/>
        </w:tabs>
        <w:suppressAutoHyphens/>
        <w:jc w:val="center"/>
        <w:rPr>
          <w:rFonts w:asciiTheme="minorHAnsi" w:hAnsiTheme="minorHAnsi" w:cstheme="minorHAnsi"/>
          <w:b/>
          <w:spacing w:val="-3"/>
          <w:sz w:val="28"/>
          <w:szCs w:val="28"/>
        </w:rPr>
      </w:pPr>
      <w:r w:rsidRPr="00BE1CE4">
        <w:rPr>
          <w:rFonts w:asciiTheme="minorHAnsi" w:hAnsiTheme="minorHAnsi" w:cstheme="minorHAnsi"/>
          <w:b/>
          <w:spacing w:val="-3"/>
          <w:sz w:val="28"/>
          <w:szCs w:val="28"/>
        </w:rPr>
        <w:t>CHIA HCF-3 RH INSTRUCTIONS</w:t>
      </w:r>
    </w:p>
    <w:p w14:paraId="7555096E" w14:textId="77777777" w:rsidR="00BE1CE4" w:rsidRDefault="00BE1CE4" w:rsidP="005559D0">
      <w:pPr>
        <w:tabs>
          <w:tab w:val="left" w:pos="-720"/>
        </w:tabs>
        <w:suppressAutoHyphens/>
        <w:jc w:val="both"/>
        <w:rPr>
          <w:rFonts w:asciiTheme="minorHAnsi" w:hAnsiTheme="minorHAnsi" w:cstheme="minorHAnsi"/>
          <w:b/>
          <w:spacing w:val="-3"/>
          <w:sz w:val="22"/>
          <w:szCs w:val="22"/>
        </w:rPr>
      </w:pPr>
    </w:p>
    <w:p w14:paraId="665B0248" w14:textId="19769594" w:rsidR="005559D0" w:rsidRPr="00BE1CE4" w:rsidRDefault="005559D0" w:rsidP="00BE1CE4">
      <w:pPr>
        <w:tabs>
          <w:tab w:val="left" w:pos="-720"/>
        </w:tabs>
        <w:suppressAutoHyphens/>
        <w:jc w:val="center"/>
        <w:rPr>
          <w:rFonts w:asciiTheme="minorHAnsi" w:hAnsiTheme="minorHAnsi" w:cstheme="minorHAnsi"/>
          <w:b/>
          <w:spacing w:val="-3"/>
          <w:sz w:val="22"/>
          <w:szCs w:val="22"/>
        </w:rPr>
      </w:pPr>
      <w:r w:rsidRPr="00BE1CE4">
        <w:rPr>
          <w:rFonts w:asciiTheme="minorHAnsi" w:hAnsiTheme="minorHAnsi" w:cstheme="minorHAnsi"/>
          <w:b/>
          <w:spacing w:val="-3"/>
          <w:sz w:val="22"/>
          <w:szCs w:val="22"/>
        </w:rPr>
        <w:t>MANAGEMENT and/or CENTRAL OFFICE REPORT – HCF-3</w:t>
      </w:r>
    </w:p>
    <w:p w14:paraId="4C737D7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A11AFF" w14:textId="0F15D06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management fee is the cost related to a second party overseeing the ongoing operation of all or part of the facility.  Whenever management fees are incurred, they should be reported in account 4160.3.  Whether or not the expense is claimed for reimbursement, a Management and/or Central Office Report, Form HCF</w:t>
      </w:r>
      <w:r w:rsidRPr="00BE1CE4">
        <w:rPr>
          <w:rFonts w:asciiTheme="minorHAnsi" w:hAnsiTheme="minorHAnsi" w:cstheme="minorHAnsi"/>
          <w:spacing w:val="-3"/>
          <w:sz w:val="22"/>
          <w:szCs w:val="22"/>
        </w:rPr>
        <w:noBreakHyphen/>
        <w:t xml:space="preserve">3, must be filed.  Management fees will be disallowed but the allowable costs of the management company/central office as allocated over the managed entities will be added to the reimbursement rate.  </w:t>
      </w:r>
      <w:r w:rsidR="00167F03" w:rsidRPr="00BE1CE4">
        <w:rPr>
          <w:rFonts w:asciiTheme="minorHAnsi" w:hAnsiTheme="minorHAnsi" w:cstheme="minorHAnsi"/>
          <w:spacing w:val="-3"/>
          <w:sz w:val="22"/>
          <w:szCs w:val="22"/>
        </w:rPr>
        <w:t>If</w:t>
      </w:r>
      <w:r w:rsidRPr="00BE1CE4">
        <w:rPr>
          <w:rFonts w:asciiTheme="minorHAnsi" w:hAnsiTheme="minorHAnsi" w:cstheme="minorHAnsi"/>
          <w:spacing w:val="-3"/>
          <w:sz w:val="22"/>
          <w:szCs w:val="22"/>
        </w:rPr>
        <w:t xml:space="preserve"> more than one management company or central office provides services to the facility, additional HCF</w:t>
      </w:r>
      <w:r w:rsidRPr="00BE1CE4">
        <w:rPr>
          <w:rFonts w:asciiTheme="minorHAnsi" w:hAnsiTheme="minorHAnsi" w:cstheme="minorHAnsi"/>
          <w:spacing w:val="-3"/>
          <w:sz w:val="22"/>
          <w:szCs w:val="22"/>
        </w:rPr>
        <w:noBreakHyphen/>
        <w:t xml:space="preserve">3's must be filed, </w:t>
      </w:r>
      <w:r w:rsidR="00167F03" w:rsidRPr="00BE1CE4">
        <w:rPr>
          <w:rFonts w:asciiTheme="minorHAnsi" w:hAnsiTheme="minorHAnsi" w:cstheme="minorHAnsi"/>
          <w:spacing w:val="-3"/>
          <w:sz w:val="22"/>
          <w:szCs w:val="22"/>
        </w:rPr>
        <w:t>e.g.,</w:t>
      </w:r>
      <w:r w:rsidRPr="00BE1CE4">
        <w:rPr>
          <w:rFonts w:asciiTheme="minorHAnsi" w:hAnsiTheme="minorHAnsi" w:cstheme="minorHAnsi"/>
          <w:spacing w:val="-3"/>
          <w:sz w:val="22"/>
          <w:szCs w:val="22"/>
        </w:rPr>
        <w:t xml:space="preserve"> HCF</w:t>
      </w:r>
      <w:r w:rsidRPr="00BE1CE4">
        <w:rPr>
          <w:rFonts w:asciiTheme="minorHAnsi" w:hAnsiTheme="minorHAnsi" w:cstheme="minorHAnsi"/>
          <w:spacing w:val="-3"/>
          <w:sz w:val="22"/>
          <w:szCs w:val="22"/>
        </w:rPr>
        <w:noBreakHyphen/>
        <w:t xml:space="preserve">3A, B, etc.  Special allocations to certain facilities can be accommodated by combining direct and shared expenses on Schedule 10 of the HCF-3 and putting a footnote on the appropriate HCF-4.  All such special allocations must be supported by detailed and well-documented evidence.  </w:t>
      </w:r>
      <w:r w:rsidRPr="00BE1CE4">
        <w:rPr>
          <w:rFonts w:asciiTheme="minorHAnsi" w:hAnsiTheme="minorHAnsi" w:cstheme="minorHAnsi"/>
          <w:b/>
          <w:spacing w:val="-3"/>
          <w:sz w:val="22"/>
          <w:szCs w:val="22"/>
        </w:rPr>
        <w:t>HCF</w:t>
      </w:r>
      <w:r w:rsidRPr="00BE1CE4">
        <w:rPr>
          <w:rFonts w:asciiTheme="minorHAnsi" w:hAnsiTheme="minorHAnsi" w:cstheme="minorHAnsi"/>
          <w:b/>
          <w:spacing w:val="-3"/>
          <w:sz w:val="22"/>
          <w:szCs w:val="22"/>
        </w:rPr>
        <w:noBreakHyphen/>
        <w:t xml:space="preserve">3 </w:t>
      </w:r>
      <w:r w:rsidR="00D94840">
        <w:rPr>
          <w:rFonts w:asciiTheme="minorHAnsi" w:hAnsiTheme="minorHAnsi" w:cstheme="minorHAnsi"/>
          <w:b/>
          <w:spacing w:val="-3"/>
          <w:sz w:val="22"/>
          <w:szCs w:val="22"/>
        </w:rPr>
        <w:t>cost report</w:t>
      </w:r>
      <w:r w:rsidRPr="00BE1CE4">
        <w:rPr>
          <w:rFonts w:asciiTheme="minorHAnsi" w:hAnsiTheme="minorHAnsi" w:cstheme="minorHAnsi"/>
          <w:b/>
          <w:spacing w:val="-3"/>
          <w:sz w:val="22"/>
          <w:szCs w:val="22"/>
        </w:rPr>
        <w:t xml:space="preserve"> includes the balance sheet, profit and loss statement, and allocation of allowable management company expenses. The values reported in the HCF-3 represent the true financial condition of the management company entity and therefore should reflect </w:t>
      </w:r>
      <w:r w:rsidR="00D66F5B" w:rsidRPr="00BE1CE4">
        <w:rPr>
          <w:rFonts w:asciiTheme="minorHAnsi" w:hAnsiTheme="minorHAnsi" w:cstheme="minorHAnsi"/>
          <w:b/>
          <w:spacing w:val="-3"/>
          <w:sz w:val="22"/>
          <w:szCs w:val="22"/>
        </w:rPr>
        <w:t>all</w:t>
      </w:r>
      <w:r w:rsidRPr="00BE1CE4">
        <w:rPr>
          <w:rFonts w:asciiTheme="minorHAnsi" w:hAnsiTheme="minorHAnsi" w:cstheme="minorHAnsi"/>
          <w:b/>
          <w:spacing w:val="-3"/>
          <w:sz w:val="22"/>
          <w:szCs w:val="22"/>
        </w:rPr>
        <w:t xml:space="preserve"> the costs of the management company, not net costs after adjustments.</w:t>
      </w:r>
      <w:r w:rsidRPr="00BE1CE4">
        <w:rPr>
          <w:rFonts w:asciiTheme="minorHAnsi" w:hAnsiTheme="minorHAnsi" w:cstheme="minorHAnsi"/>
          <w:spacing w:val="-3"/>
          <w:sz w:val="22"/>
          <w:szCs w:val="22"/>
        </w:rPr>
        <w:t xml:space="preserve">  If expenses of the management company/central office have been reported directly on </w:t>
      </w:r>
      <w:proofErr w:type="gramStart"/>
      <w:r w:rsidRPr="00BE1CE4">
        <w:rPr>
          <w:rFonts w:asciiTheme="minorHAnsi" w:hAnsiTheme="minorHAnsi" w:cstheme="minorHAnsi"/>
          <w:spacing w:val="-3"/>
          <w:sz w:val="22"/>
          <w:szCs w:val="22"/>
        </w:rPr>
        <w:t>the HCF</w:t>
      </w:r>
      <w:proofErr w:type="gramEnd"/>
      <w:r w:rsidRPr="00BE1CE4">
        <w:rPr>
          <w:rFonts w:asciiTheme="minorHAnsi" w:hAnsiTheme="minorHAnsi" w:cstheme="minorHAnsi"/>
          <w:spacing w:val="-3"/>
          <w:sz w:val="22"/>
          <w:szCs w:val="22"/>
        </w:rPr>
        <w:t xml:space="preserve">-4, this should be disclosed in the Footnotes and Explanations section on both the HCF-4 and the HCF-3.  The cost report related question on the HCF-3, pg. 6, and </w:t>
      </w:r>
      <w:r w:rsidR="009213F8">
        <w:rPr>
          <w:rFonts w:asciiTheme="minorHAnsi" w:hAnsiTheme="minorHAnsi" w:cstheme="minorHAnsi"/>
          <w:spacing w:val="-3"/>
          <w:sz w:val="22"/>
          <w:szCs w:val="22"/>
        </w:rPr>
        <w:t>in</w:t>
      </w:r>
      <w:r w:rsidRPr="00BE1CE4">
        <w:rPr>
          <w:rFonts w:asciiTheme="minorHAnsi" w:hAnsiTheme="minorHAnsi" w:cstheme="minorHAnsi"/>
          <w:spacing w:val="-3"/>
          <w:sz w:val="22"/>
          <w:szCs w:val="22"/>
        </w:rPr>
        <w:t xml:space="preserve"> the HCF-4</w:t>
      </w:r>
      <w:r w:rsidR="009213F8">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should be answered affirmatively.</w:t>
      </w:r>
    </w:p>
    <w:p w14:paraId="1095572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DDEBE" w14:textId="25DB58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Management Consulting (4160.6) is the cost of a specific identifiable project or task done by an outside vendor.  An HCF</w:t>
      </w:r>
      <w:r w:rsidRPr="00BE1CE4">
        <w:rPr>
          <w:rFonts w:asciiTheme="minorHAnsi" w:hAnsiTheme="minorHAnsi" w:cstheme="minorHAnsi"/>
          <w:spacing w:val="-3"/>
          <w:sz w:val="22"/>
          <w:szCs w:val="22"/>
        </w:rPr>
        <w:noBreakHyphen/>
        <w:t xml:space="preserve">3 is not needed if </w:t>
      </w:r>
      <w:r w:rsidRPr="00BE1CE4">
        <w:rPr>
          <w:rFonts w:asciiTheme="minorHAnsi" w:hAnsiTheme="minorHAnsi" w:cstheme="minorHAnsi"/>
          <w:b/>
          <w:spacing w:val="-3"/>
          <w:sz w:val="22"/>
          <w:szCs w:val="22"/>
        </w:rPr>
        <w:t xml:space="preserve">only </w:t>
      </w:r>
      <w:r w:rsidRPr="00BE1CE4">
        <w:rPr>
          <w:rFonts w:asciiTheme="minorHAnsi" w:hAnsiTheme="minorHAnsi" w:cstheme="minorHAnsi"/>
          <w:spacing w:val="-3"/>
          <w:sz w:val="22"/>
          <w:szCs w:val="22"/>
        </w:rPr>
        <w:t>management consulting services are provided.</w:t>
      </w:r>
    </w:p>
    <w:p w14:paraId="7C96FBD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74902C9" w14:textId="35C57E0F"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 xml:space="preserve">Certification by Owner, </w:t>
      </w:r>
      <w:r w:rsidR="006D3BC6" w:rsidRPr="00BE1CE4">
        <w:rPr>
          <w:rFonts w:asciiTheme="minorHAnsi" w:hAnsiTheme="minorHAnsi" w:cstheme="minorHAnsi"/>
          <w:b/>
          <w:spacing w:val="-3"/>
          <w:sz w:val="22"/>
          <w:szCs w:val="22"/>
          <w:u w:val="single"/>
        </w:rPr>
        <w:t>Partner,</w:t>
      </w:r>
      <w:r w:rsidRPr="00BE1CE4">
        <w:rPr>
          <w:rFonts w:asciiTheme="minorHAnsi" w:hAnsiTheme="minorHAnsi" w:cstheme="minorHAnsi"/>
          <w:b/>
          <w:spacing w:val="-3"/>
          <w:sz w:val="22"/>
          <w:szCs w:val="22"/>
          <w:u w:val="single"/>
        </w:rPr>
        <w:t xml:space="preserve"> or Officer</w:t>
      </w:r>
    </w:p>
    <w:p w14:paraId="56FCA72B" w14:textId="493B1DF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schedule contains two sections which must be completed and signed off with original signatures by the appropriate people.  The first section is to be completed and signed off by the Owner, Partner or Officer and must be the authorized legal signatory for the entity.</w:t>
      </w:r>
    </w:p>
    <w:p w14:paraId="35A607C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3D84E0AA" w14:textId="57A1E61D" w:rsidR="005559D0" w:rsidRPr="00BE1CE4" w:rsidRDefault="00262BD9" w:rsidP="005559D0">
      <w:pPr>
        <w:tabs>
          <w:tab w:val="left" w:pos="-720"/>
        </w:tabs>
        <w:suppressAutoHyphens/>
        <w:ind w:left="288"/>
        <w:jc w:val="both"/>
        <w:rPr>
          <w:rFonts w:asciiTheme="minorHAnsi" w:hAnsiTheme="minorHAnsi" w:cstheme="minorHAnsi"/>
          <w:b/>
          <w:spacing w:val="-3"/>
          <w:sz w:val="22"/>
          <w:szCs w:val="22"/>
          <w:u w:val="single"/>
        </w:rPr>
      </w:pPr>
      <w:r>
        <w:rPr>
          <w:rFonts w:asciiTheme="minorHAnsi" w:hAnsiTheme="minorHAnsi" w:cstheme="minorHAnsi"/>
          <w:b/>
          <w:spacing w:val="-3"/>
          <w:sz w:val="22"/>
          <w:szCs w:val="22"/>
          <w:u w:val="single"/>
        </w:rPr>
        <w:t xml:space="preserve">Name of </w:t>
      </w:r>
      <w:r w:rsidR="005559D0" w:rsidRPr="00BE1CE4">
        <w:rPr>
          <w:rFonts w:asciiTheme="minorHAnsi" w:hAnsiTheme="minorHAnsi" w:cstheme="minorHAnsi"/>
          <w:b/>
          <w:spacing w:val="-3"/>
          <w:sz w:val="22"/>
          <w:szCs w:val="22"/>
          <w:u w:val="single"/>
        </w:rPr>
        <w:t>Preparer</w:t>
      </w:r>
      <w:r w:rsidR="00732E42">
        <w:rPr>
          <w:rFonts w:asciiTheme="minorHAnsi" w:hAnsiTheme="minorHAnsi" w:cstheme="minorHAnsi"/>
          <w:b/>
          <w:spacing w:val="-3"/>
          <w:sz w:val="22"/>
          <w:szCs w:val="22"/>
          <w:u w:val="single"/>
        </w:rPr>
        <w:t xml:space="preserve"> </w:t>
      </w:r>
      <w:r w:rsidR="00D62271">
        <w:rPr>
          <w:rFonts w:asciiTheme="minorHAnsi" w:hAnsiTheme="minorHAnsi" w:cstheme="minorHAnsi"/>
          <w:b/>
          <w:spacing w:val="-3"/>
          <w:sz w:val="22"/>
          <w:szCs w:val="22"/>
          <w:u w:val="single"/>
        </w:rPr>
        <w:t>other than Owner</w:t>
      </w:r>
      <w:r w:rsidR="00183436">
        <w:rPr>
          <w:rFonts w:asciiTheme="minorHAnsi" w:hAnsiTheme="minorHAnsi" w:cstheme="minorHAnsi"/>
          <w:b/>
          <w:spacing w:val="-3"/>
          <w:sz w:val="22"/>
          <w:szCs w:val="22"/>
          <w:u w:val="single"/>
        </w:rPr>
        <w:t xml:space="preserve">, Partner, </w:t>
      </w:r>
      <w:r w:rsidR="004D073B">
        <w:rPr>
          <w:rFonts w:asciiTheme="minorHAnsi" w:hAnsiTheme="minorHAnsi" w:cstheme="minorHAnsi"/>
          <w:b/>
          <w:spacing w:val="-3"/>
          <w:sz w:val="22"/>
          <w:szCs w:val="22"/>
          <w:u w:val="single"/>
        </w:rPr>
        <w:t>or Officer</w:t>
      </w:r>
      <w:r w:rsidR="005559D0" w:rsidRPr="00BE1CE4">
        <w:rPr>
          <w:rFonts w:asciiTheme="minorHAnsi" w:hAnsiTheme="minorHAnsi" w:cstheme="minorHAnsi"/>
          <w:b/>
          <w:spacing w:val="-3"/>
          <w:sz w:val="22"/>
          <w:szCs w:val="22"/>
          <w:u w:val="single"/>
        </w:rPr>
        <w:t xml:space="preserve"> </w:t>
      </w:r>
    </w:p>
    <w:p w14:paraId="2DABBA44" w14:textId="444C53F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second section must be completed and signed off by the cost report preparer, someone other than the Owner, </w:t>
      </w:r>
      <w:r w:rsidR="006D3BC6" w:rsidRPr="00BE1CE4">
        <w:rPr>
          <w:rFonts w:asciiTheme="minorHAnsi" w:hAnsiTheme="minorHAnsi" w:cstheme="minorHAnsi"/>
          <w:spacing w:val="-3"/>
          <w:sz w:val="22"/>
          <w:szCs w:val="22"/>
        </w:rPr>
        <w:t>Partner,</w:t>
      </w:r>
      <w:r w:rsidRPr="00BE1CE4">
        <w:rPr>
          <w:rFonts w:asciiTheme="minorHAnsi" w:hAnsiTheme="minorHAnsi" w:cstheme="minorHAnsi"/>
          <w:spacing w:val="-3"/>
          <w:sz w:val="22"/>
          <w:szCs w:val="22"/>
        </w:rPr>
        <w:t xml:space="preserve"> or Officer.  If this section does not apply to the entity, please write “N/A” on the designated line for the preparer’s name.</w:t>
      </w:r>
    </w:p>
    <w:p w14:paraId="30159AB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DE5546"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Schedule A: Disclosure Information</w:t>
      </w:r>
    </w:p>
    <w:p w14:paraId="377A27A3" w14:textId="5328468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Disclosure Information for the HCF-4, except that it is information furnished for the HCF-3 (Management Company or Central Office). If the facility is owned by a corporation or chain, list the name of the corporation under “Last Name”.  Facilities or related entities that are in a trust must list the beneficial owner under “Last name”. </w:t>
      </w:r>
    </w:p>
    <w:p w14:paraId="644F5D7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3C0D85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Once the Disclosure Section is complete, please review it for accuracy and have the authorized signatory sign off with original signature at the bottom of page 3.</w:t>
      </w:r>
    </w:p>
    <w:p w14:paraId="2837AFEF"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7B653E1C" w14:textId="1879FD9E" w:rsidR="005559D0" w:rsidRPr="00BE1CE4" w:rsidRDefault="005559D0" w:rsidP="005559D0">
      <w:pPr>
        <w:tabs>
          <w:tab w:val="left" w:pos="-720"/>
        </w:tabs>
        <w:suppressAutoHyphens/>
        <w:ind w:left="288"/>
        <w:jc w:val="both"/>
        <w:rPr>
          <w:rFonts w:asciiTheme="minorHAnsi" w:hAnsiTheme="minorHAnsi" w:cstheme="minorHAnsi"/>
          <w:b/>
          <w:spacing w:val="-3"/>
          <w:sz w:val="22"/>
          <w:szCs w:val="22"/>
          <w:u w:val="single"/>
        </w:rPr>
      </w:pPr>
      <w:r w:rsidRPr="00BE1CE4">
        <w:rPr>
          <w:rFonts w:asciiTheme="minorHAnsi" w:hAnsiTheme="minorHAnsi" w:cstheme="minorHAnsi"/>
          <w:b/>
          <w:spacing w:val="-3"/>
          <w:sz w:val="22"/>
          <w:szCs w:val="22"/>
          <w:u w:val="single"/>
        </w:rPr>
        <w:t>Proprietor</w:t>
      </w:r>
      <w:r w:rsidR="008C4302">
        <w:rPr>
          <w:rFonts w:asciiTheme="minorHAnsi" w:hAnsiTheme="minorHAnsi" w:cstheme="minorHAnsi"/>
          <w:b/>
          <w:spacing w:val="-3"/>
          <w:sz w:val="22"/>
          <w:szCs w:val="22"/>
          <w:u w:val="single"/>
        </w:rPr>
        <w:t>ship</w:t>
      </w:r>
      <w:r w:rsidRPr="00BE1CE4">
        <w:rPr>
          <w:rFonts w:asciiTheme="minorHAnsi" w:hAnsiTheme="minorHAnsi" w:cstheme="minorHAnsi"/>
          <w:b/>
          <w:spacing w:val="-3"/>
          <w:sz w:val="22"/>
          <w:szCs w:val="22"/>
          <w:u w:val="single"/>
        </w:rPr>
        <w:t>, Partnership and Corporate Information</w:t>
      </w:r>
    </w:p>
    <w:p w14:paraId="760CB3A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page is used to </w:t>
      </w:r>
      <w:proofErr w:type="gramStart"/>
      <w:r w:rsidRPr="00BE1CE4">
        <w:rPr>
          <w:rFonts w:asciiTheme="minorHAnsi" w:hAnsiTheme="minorHAnsi" w:cstheme="minorHAnsi"/>
          <w:spacing w:val="-3"/>
          <w:sz w:val="22"/>
          <w:szCs w:val="22"/>
        </w:rPr>
        <w:t>report</w:t>
      </w:r>
      <w:proofErr w:type="gramEnd"/>
      <w:r w:rsidRPr="00BE1CE4">
        <w:rPr>
          <w:rFonts w:asciiTheme="minorHAnsi" w:hAnsiTheme="minorHAnsi" w:cstheme="minorHAnsi"/>
          <w:spacing w:val="-3"/>
          <w:sz w:val="22"/>
          <w:szCs w:val="22"/>
        </w:rPr>
        <w:t xml:space="preserve"> the names of the legal owners of the business and to disclose the salary and other compensation paid to owners as well as what accounts were charged.    A complete accounting of all disbursements to the Owners, Partners and Officers</w:t>
      </w:r>
      <w:r w:rsidRPr="00BE1CE4" w:rsidDel="00B3339C">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should be reported here as presented in the examples below.  Sole proprietors should report the same amount as reported in the </w:t>
      </w:r>
      <w:proofErr w:type="gramStart"/>
      <w:r w:rsidRPr="00BE1CE4">
        <w:rPr>
          <w:rFonts w:asciiTheme="minorHAnsi" w:hAnsiTheme="minorHAnsi" w:cstheme="minorHAnsi"/>
          <w:spacing w:val="-3"/>
          <w:sz w:val="22"/>
          <w:szCs w:val="22"/>
        </w:rPr>
        <w:t>draw</w:t>
      </w:r>
      <w:proofErr w:type="gramEnd"/>
      <w:r w:rsidRPr="00BE1CE4">
        <w:rPr>
          <w:rFonts w:asciiTheme="minorHAnsi" w:hAnsiTheme="minorHAnsi" w:cstheme="minorHAnsi"/>
          <w:spacing w:val="-3"/>
          <w:sz w:val="22"/>
          <w:szCs w:val="22"/>
        </w:rPr>
        <w:t xml:space="preserve"> account and under no circumstances should any amount be claimed for personal services in an account other than draw.</w:t>
      </w:r>
    </w:p>
    <w:p w14:paraId="6054F4B1"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sectPr w:rsidR="005559D0" w:rsidRPr="00BE1CE4" w:rsidSect="00520329">
          <w:footerReference w:type="default" r:id="rId10"/>
          <w:endnotePr>
            <w:numFmt w:val="decimal"/>
          </w:endnotePr>
          <w:pgSz w:w="12240" w:h="15840" w:code="1"/>
          <w:pgMar w:top="1152" w:right="1440" w:bottom="720" w:left="1440" w:header="432" w:footer="432" w:gutter="0"/>
          <w:cols w:space="720"/>
          <w:noEndnote/>
        </w:sectPr>
      </w:pPr>
    </w:p>
    <w:p w14:paraId="3BD2F892" w14:textId="77777777" w:rsidR="005559D0" w:rsidRPr="00BE1CE4" w:rsidRDefault="005559D0" w:rsidP="005559D0">
      <w:pPr>
        <w:tabs>
          <w:tab w:val="center" w:pos="5537"/>
        </w:tabs>
        <w:suppressAutoHyphens/>
        <w:jc w:val="both"/>
        <w:rPr>
          <w:rFonts w:asciiTheme="minorHAnsi" w:hAnsiTheme="minorHAnsi" w:cstheme="minorHAnsi"/>
          <w:spacing w:val="-3"/>
          <w:sz w:val="22"/>
          <w:szCs w:val="22"/>
        </w:rPr>
      </w:pPr>
    </w:p>
    <w:p w14:paraId="2796DEB8"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firstLine="270"/>
        <w:jc w:val="both"/>
        <w:rPr>
          <w:rFonts w:asciiTheme="minorHAnsi" w:hAnsiTheme="minorHAnsi" w:cstheme="minorHAnsi"/>
          <w:spacing w:val="-2"/>
          <w:sz w:val="22"/>
          <w:szCs w:val="22"/>
        </w:rPr>
      </w:pPr>
      <w:r w:rsidRPr="00BE1CE4">
        <w:rPr>
          <w:rFonts w:asciiTheme="minorHAnsi" w:hAnsiTheme="minorHAnsi" w:cstheme="minorHAnsi"/>
          <w:b/>
          <w:spacing w:val="-2"/>
          <w:sz w:val="22"/>
          <w:szCs w:val="22"/>
        </w:rPr>
        <w:t>Sole Proprietorship:</w:t>
      </w:r>
    </w:p>
    <w:tbl>
      <w:tblPr>
        <w:tblW w:w="9458"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4"/>
        <w:gridCol w:w="850"/>
        <w:gridCol w:w="1784"/>
        <w:gridCol w:w="1087"/>
        <w:gridCol w:w="878"/>
        <w:gridCol w:w="1025"/>
        <w:gridCol w:w="1025"/>
        <w:gridCol w:w="1025"/>
      </w:tblGrid>
      <w:tr w:rsidR="005559D0" w:rsidRPr="00F51D89" w14:paraId="2E64EFDB" w14:textId="77777777" w:rsidTr="00F51D89">
        <w:trPr>
          <w:trHeight w:val="238"/>
        </w:trPr>
        <w:tc>
          <w:tcPr>
            <w:tcW w:w="2634" w:type="dxa"/>
            <w:gridSpan w:val="2"/>
            <w:tcBorders>
              <w:top w:val="nil"/>
              <w:left w:val="nil"/>
              <w:bottom w:val="nil"/>
              <w:right w:val="nil"/>
            </w:tcBorders>
          </w:tcPr>
          <w:p w14:paraId="61EAFEF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12" w:space="0" w:color="auto"/>
              <w:left w:val="single" w:sz="12" w:space="0" w:color="auto"/>
              <w:bottom w:val="single" w:sz="6" w:space="0" w:color="auto"/>
              <w:right w:val="single" w:sz="6" w:space="0" w:color="auto"/>
            </w:tcBorders>
          </w:tcPr>
          <w:p w14:paraId="0F44974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1087" w:type="dxa"/>
            <w:tcBorders>
              <w:top w:val="single" w:sz="12" w:space="0" w:color="auto"/>
              <w:left w:val="single" w:sz="6" w:space="0" w:color="auto"/>
              <w:bottom w:val="single" w:sz="6" w:space="0" w:color="auto"/>
              <w:right w:val="single" w:sz="6" w:space="0" w:color="auto"/>
            </w:tcBorders>
          </w:tcPr>
          <w:p w14:paraId="556BA20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#2530.0</w:t>
            </w:r>
            <w:r w:rsidRPr="00F51D89">
              <w:rPr>
                <w:rFonts w:asciiTheme="minorHAnsi" w:hAnsiTheme="minorHAnsi" w:cstheme="minorHAnsi"/>
                <w:spacing w:val="-2"/>
                <w:sz w:val="18"/>
                <w:szCs w:val="18"/>
                <w:vertAlign w:val="superscript"/>
              </w:rPr>
              <w:t>1</w:t>
            </w:r>
          </w:p>
        </w:tc>
        <w:tc>
          <w:tcPr>
            <w:tcW w:w="878" w:type="dxa"/>
            <w:tcBorders>
              <w:top w:val="single" w:sz="12" w:space="0" w:color="auto"/>
              <w:left w:val="single" w:sz="6" w:space="0" w:color="auto"/>
              <w:bottom w:val="single" w:sz="6" w:space="0" w:color="auto"/>
              <w:right w:val="single" w:sz="6" w:space="0" w:color="auto"/>
            </w:tcBorders>
          </w:tcPr>
          <w:p w14:paraId="1D33EB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BE5B68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6" w:space="0" w:color="auto"/>
            </w:tcBorders>
          </w:tcPr>
          <w:p w14:paraId="669808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12" w:space="0" w:color="auto"/>
              <w:left w:val="single" w:sz="6" w:space="0" w:color="auto"/>
              <w:bottom w:val="single" w:sz="6" w:space="0" w:color="auto"/>
              <w:right w:val="single" w:sz="12" w:space="0" w:color="auto"/>
            </w:tcBorders>
          </w:tcPr>
          <w:p w14:paraId="718FA2C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21CCE49C" w14:textId="77777777" w:rsidTr="00F51D89">
        <w:trPr>
          <w:trHeight w:val="238"/>
        </w:trPr>
        <w:tc>
          <w:tcPr>
            <w:tcW w:w="2634" w:type="dxa"/>
            <w:gridSpan w:val="2"/>
            <w:tcBorders>
              <w:top w:val="nil"/>
              <w:left w:val="nil"/>
              <w:bottom w:val="nil"/>
              <w:right w:val="nil"/>
            </w:tcBorders>
          </w:tcPr>
          <w:p w14:paraId="715281B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84" w:type="dxa"/>
            <w:tcBorders>
              <w:top w:val="single" w:sz="6" w:space="0" w:color="auto"/>
              <w:left w:val="single" w:sz="12" w:space="0" w:color="auto"/>
              <w:bottom w:val="single" w:sz="6" w:space="0" w:color="auto"/>
              <w:right w:val="single" w:sz="6" w:space="0" w:color="auto"/>
            </w:tcBorders>
          </w:tcPr>
          <w:p w14:paraId="05465B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1087" w:type="dxa"/>
            <w:tcBorders>
              <w:top w:val="single" w:sz="6" w:space="0" w:color="auto"/>
              <w:left w:val="single" w:sz="6" w:space="0" w:color="auto"/>
              <w:bottom w:val="single" w:sz="6" w:space="0" w:color="auto"/>
              <w:right w:val="single" w:sz="6" w:space="0" w:color="auto"/>
            </w:tcBorders>
          </w:tcPr>
          <w:p w14:paraId="771F4C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75%  </w:t>
            </w:r>
          </w:p>
        </w:tc>
        <w:tc>
          <w:tcPr>
            <w:tcW w:w="878" w:type="dxa"/>
            <w:tcBorders>
              <w:top w:val="single" w:sz="6" w:space="0" w:color="auto"/>
              <w:left w:val="single" w:sz="6" w:space="0" w:color="auto"/>
              <w:bottom w:val="single" w:sz="6" w:space="0" w:color="auto"/>
              <w:right w:val="single" w:sz="6" w:space="0" w:color="auto"/>
            </w:tcBorders>
          </w:tcPr>
          <w:p w14:paraId="06BEEC4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657A622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6" w:space="0" w:color="auto"/>
            </w:tcBorders>
          </w:tcPr>
          <w:p w14:paraId="2313C17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c>
          <w:tcPr>
            <w:tcW w:w="1025" w:type="dxa"/>
            <w:tcBorders>
              <w:top w:val="single" w:sz="6" w:space="0" w:color="auto"/>
              <w:left w:val="single" w:sz="6" w:space="0" w:color="auto"/>
              <w:bottom w:val="single" w:sz="6" w:space="0" w:color="auto"/>
              <w:right w:val="single" w:sz="12" w:space="0" w:color="auto"/>
            </w:tcBorders>
          </w:tcPr>
          <w:p w14:paraId="47F1C98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XXX %   </w:t>
            </w:r>
          </w:p>
        </w:tc>
      </w:tr>
      <w:tr w:rsidR="005559D0" w:rsidRPr="00F51D89" w14:paraId="37634203" w14:textId="77777777" w:rsidTr="00F51D89">
        <w:trPr>
          <w:trHeight w:val="247"/>
        </w:trPr>
        <w:tc>
          <w:tcPr>
            <w:tcW w:w="1784" w:type="dxa"/>
            <w:tcBorders>
              <w:top w:val="nil"/>
              <w:left w:val="nil"/>
              <w:bottom w:val="single" w:sz="4" w:space="0" w:color="auto"/>
              <w:right w:val="nil"/>
            </w:tcBorders>
          </w:tcPr>
          <w:p w14:paraId="4C6B00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Jones  </w:t>
            </w:r>
          </w:p>
        </w:tc>
        <w:tc>
          <w:tcPr>
            <w:tcW w:w="849" w:type="dxa"/>
            <w:tcBorders>
              <w:top w:val="nil"/>
              <w:left w:val="nil"/>
              <w:bottom w:val="nil"/>
              <w:right w:val="nil"/>
            </w:tcBorders>
          </w:tcPr>
          <w:p w14:paraId="4007A10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6" w:space="0" w:color="auto"/>
              <w:right w:val="single" w:sz="6" w:space="0" w:color="auto"/>
            </w:tcBorders>
          </w:tcPr>
          <w:p w14:paraId="7FBA8CD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1087" w:type="dxa"/>
            <w:tcBorders>
              <w:top w:val="single" w:sz="6" w:space="0" w:color="auto"/>
              <w:left w:val="single" w:sz="6" w:space="0" w:color="auto"/>
              <w:bottom w:val="single" w:sz="6" w:space="0" w:color="auto"/>
              <w:right w:val="single" w:sz="6" w:space="0" w:color="auto"/>
            </w:tcBorders>
          </w:tcPr>
          <w:p w14:paraId="32BA36D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2CD710C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1AA817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36C69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16E814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1C2096BE" w14:textId="77777777" w:rsidTr="00F51D89">
        <w:trPr>
          <w:trHeight w:val="238"/>
        </w:trPr>
        <w:tc>
          <w:tcPr>
            <w:tcW w:w="2634" w:type="dxa"/>
            <w:gridSpan w:val="2"/>
            <w:tcBorders>
              <w:top w:val="nil"/>
              <w:left w:val="nil"/>
              <w:bottom w:val="nil"/>
              <w:right w:val="nil"/>
            </w:tcBorders>
          </w:tcPr>
          <w:p w14:paraId="75E83B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84" w:type="dxa"/>
            <w:tcBorders>
              <w:top w:val="single" w:sz="6" w:space="0" w:color="auto"/>
              <w:left w:val="single" w:sz="12" w:space="0" w:color="auto"/>
              <w:bottom w:val="single" w:sz="6" w:space="0" w:color="auto"/>
              <w:right w:val="single" w:sz="6" w:space="0" w:color="auto"/>
            </w:tcBorders>
          </w:tcPr>
          <w:p w14:paraId="69357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1087" w:type="dxa"/>
            <w:tcBorders>
              <w:top w:val="single" w:sz="6" w:space="0" w:color="auto"/>
              <w:left w:val="single" w:sz="6" w:space="0" w:color="auto"/>
              <w:bottom w:val="single" w:sz="6" w:space="0" w:color="auto"/>
              <w:right w:val="single" w:sz="6" w:space="0" w:color="auto"/>
            </w:tcBorders>
          </w:tcPr>
          <w:p w14:paraId="443B6CF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36CF6E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EC98F3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58842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765EC2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4584565" w14:textId="77777777" w:rsidTr="00F51D89">
        <w:trPr>
          <w:trHeight w:val="238"/>
        </w:trPr>
        <w:tc>
          <w:tcPr>
            <w:tcW w:w="1784" w:type="dxa"/>
            <w:tcBorders>
              <w:top w:val="nil"/>
              <w:left w:val="nil"/>
              <w:bottom w:val="single" w:sz="4" w:space="0" w:color="auto"/>
              <w:right w:val="nil"/>
            </w:tcBorders>
          </w:tcPr>
          <w:p w14:paraId="2943A81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r w:rsidRPr="00F51D89">
              <w:rPr>
                <w:rFonts w:asciiTheme="minorHAnsi" w:hAnsiTheme="minorHAnsi" w:cstheme="minorHAnsi"/>
                <w:spacing w:val="-2"/>
                <w:sz w:val="18"/>
                <w:szCs w:val="18"/>
              </w:rPr>
              <w:t>Fred</w:t>
            </w:r>
          </w:p>
        </w:tc>
        <w:tc>
          <w:tcPr>
            <w:tcW w:w="849" w:type="dxa"/>
            <w:tcBorders>
              <w:top w:val="nil"/>
              <w:left w:val="nil"/>
              <w:bottom w:val="nil"/>
              <w:right w:val="nil"/>
            </w:tcBorders>
          </w:tcPr>
          <w:p w14:paraId="2394C65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84" w:type="dxa"/>
            <w:tcBorders>
              <w:top w:val="single" w:sz="6" w:space="0" w:color="auto"/>
              <w:left w:val="single" w:sz="12" w:space="0" w:color="auto"/>
              <w:bottom w:val="single" w:sz="6" w:space="0" w:color="auto"/>
              <w:right w:val="single" w:sz="6" w:space="0" w:color="auto"/>
            </w:tcBorders>
          </w:tcPr>
          <w:p w14:paraId="1D88AE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1087" w:type="dxa"/>
            <w:tcBorders>
              <w:top w:val="single" w:sz="6" w:space="0" w:color="auto"/>
              <w:left w:val="single" w:sz="6" w:space="0" w:color="auto"/>
              <w:bottom w:val="single" w:sz="6" w:space="0" w:color="auto"/>
              <w:right w:val="single" w:sz="6" w:space="0" w:color="auto"/>
            </w:tcBorders>
          </w:tcPr>
          <w:p w14:paraId="1FA9899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4611156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86E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FDEA9C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7C250C5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2C5B540" w14:textId="77777777" w:rsidTr="00F51D89">
        <w:trPr>
          <w:trHeight w:val="247"/>
        </w:trPr>
        <w:tc>
          <w:tcPr>
            <w:tcW w:w="2634" w:type="dxa"/>
            <w:gridSpan w:val="2"/>
            <w:tcBorders>
              <w:top w:val="nil"/>
              <w:left w:val="nil"/>
              <w:bottom w:val="nil"/>
              <w:right w:val="nil"/>
            </w:tcBorders>
          </w:tcPr>
          <w:p w14:paraId="396B060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u w:val="single"/>
              </w:rPr>
              <w:t xml:space="preserve"> </w:t>
            </w:r>
          </w:p>
        </w:tc>
        <w:tc>
          <w:tcPr>
            <w:tcW w:w="1784" w:type="dxa"/>
            <w:tcBorders>
              <w:top w:val="single" w:sz="6" w:space="0" w:color="auto"/>
              <w:left w:val="single" w:sz="12" w:space="0" w:color="auto"/>
              <w:bottom w:val="single" w:sz="6" w:space="0" w:color="auto"/>
              <w:right w:val="single" w:sz="6" w:space="0" w:color="auto"/>
            </w:tcBorders>
          </w:tcPr>
          <w:p w14:paraId="59D3790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1087" w:type="dxa"/>
            <w:tcBorders>
              <w:top w:val="single" w:sz="6" w:space="0" w:color="auto"/>
              <w:left w:val="single" w:sz="6" w:space="0" w:color="auto"/>
              <w:bottom w:val="single" w:sz="6" w:space="0" w:color="auto"/>
              <w:right w:val="single" w:sz="6" w:space="0" w:color="auto"/>
            </w:tcBorders>
          </w:tcPr>
          <w:p w14:paraId="20D637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51F6AF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3157F1D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5E5394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15D2CB1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03264C2" w14:textId="77777777" w:rsidTr="00F51D89">
        <w:trPr>
          <w:trHeight w:val="238"/>
        </w:trPr>
        <w:tc>
          <w:tcPr>
            <w:tcW w:w="2634" w:type="dxa"/>
            <w:gridSpan w:val="2"/>
            <w:tcBorders>
              <w:top w:val="nil"/>
              <w:left w:val="nil"/>
              <w:bottom w:val="nil"/>
              <w:right w:val="nil"/>
            </w:tcBorders>
          </w:tcPr>
          <w:p w14:paraId="05C743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84" w:type="dxa"/>
            <w:tcBorders>
              <w:top w:val="single" w:sz="6" w:space="0" w:color="auto"/>
              <w:left w:val="single" w:sz="12" w:space="0" w:color="auto"/>
              <w:bottom w:val="single" w:sz="6" w:space="0" w:color="auto"/>
              <w:right w:val="single" w:sz="6" w:space="0" w:color="auto"/>
            </w:tcBorders>
          </w:tcPr>
          <w:p w14:paraId="4868D08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8152B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6" w:space="0" w:color="auto"/>
              <w:right w:val="single" w:sz="6" w:space="0" w:color="auto"/>
            </w:tcBorders>
          </w:tcPr>
          <w:p w14:paraId="5F1F9C4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ABB449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5D43CEF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0D67BFB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643D17FB" w14:textId="77777777" w:rsidTr="00F51D89">
        <w:trPr>
          <w:trHeight w:val="238"/>
        </w:trPr>
        <w:tc>
          <w:tcPr>
            <w:tcW w:w="2634" w:type="dxa"/>
            <w:gridSpan w:val="2"/>
            <w:tcBorders>
              <w:top w:val="nil"/>
              <w:left w:val="nil"/>
              <w:bottom w:val="nil"/>
              <w:right w:val="nil"/>
            </w:tcBorders>
          </w:tcPr>
          <w:p w14:paraId="085056C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84" w:type="dxa"/>
            <w:tcBorders>
              <w:top w:val="single" w:sz="6" w:space="0" w:color="auto"/>
              <w:left w:val="single" w:sz="12" w:space="0" w:color="auto"/>
              <w:bottom w:val="single" w:sz="6" w:space="0" w:color="auto"/>
              <w:right w:val="single" w:sz="6" w:space="0" w:color="auto"/>
            </w:tcBorders>
          </w:tcPr>
          <w:p w14:paraId="0D1E8E4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6845F0A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5E2EC20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42D5CA8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1EC763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62514E7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30F02E71" w14:textId="77777777" w:rsidTr="00F51D89">
        <w:trPr>
          <w:trHeight w:val="305"/>
        </w:trPr>
        <w:tc>
          <w:tcPr>
            <w:tcW w:w="2634" w:type="dxa"/>
            <w:gridSpan w:val="2"/>
            <w:tcBorders>
              <w:top w:val="nil"/>
              <w:left w:val="nil"/>
              <w:bottom w:val="nil"/>
              <w:right w:val="nil"/>
            </w:tcBorders>
          </w:tcPr>
          <w:p w14:paraId="16CDDA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roofErr w:type="gramStart"/>
            <w:r w:rsidRPr="00F51D89">
              <w:rPr>
                <w:rFonts w:asciiTheme="minorHAnsi" w:hAnsiTheme="minorHAnsi" w:cstheme="minorHAnsi"/>
                <w:b/>
                <w:spacing w:val="-2"/>
                <w:sz w:val="18"/>
                <w:szCs w:val="18"/>
              </w:rPr>
              <w:t>Owner</w:t>
            </w:r>
            <w:r w:rsidRPr="00F51D89">
              <w:rPr>
                <w:rFonts w:asciiTheme="minorHAnsi" w:hAnsiTheme="minorHAnsi" w:cstheme="minorHAnsi"/>
                <w:spacing w:val="-2"/>
                <w:sz w:val="18"/>
                <w:szCs w:val="18"/>
              </w:rPr>
              <w:t xml:space="preserve">  /</w:t>
            </w:r>
            <w:proofErr w:type="gramEnd"/>
            <w:r w:rsidRPr="00F51D89">
              <w:rPr>
                <w:rFonts w:asciiTheme="minorHAnsi" w:hAnsiTheme="minorHAnsi" w:cstheme="minorHAnsi"/>
                <w:spacing w:val="-2"/>
                <w:sz w:val="18"/>
                <w:szCs w:val="18"/>
              </w:rPr>
              <w:t xml:space="preserve">  Officer  /  Partner </w:t>
            </w:r>
          </w:p>
        </w:tc>
        <w:tc>
          <w:tcPr>
            <w:tcW w:w="1784" w:type="dxa"/>
            <w:tcBorders>
              <w:top w:val="single" w:sz="6" w:space="0" w:color="auto"/>
              <w:left w:val="single" w:sz="12" w:space="0" w:color="auto"/>
              <w:bottom w:val="single" w:sz="6" w:space="0" w:color="auto"/>
              <w:right w:val="single" w:sz="6" w:space="0" w:color="auto"/>
            </w:tcBorders>
          </w:tcPr>
          <w:p w14:paraId="724C72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1087" w:type="dxa"/>
            <w:tcBorders>
              <w:top w:val="single" w:sz="6" w:space="0" w:color="auto"/>
              <w:left w:val="single" w:sz="6" w:space="0" w:color="auto"/>
              <w:bottom w:val="single" w:sz="6" w:space="0" w:color="auto"/>
              <w:right w:val="single" w:sz="6" w:space="0" w:color="auto"/>
            </w:tcBorders>
          </w:tcPr>
          <w:p w14:paraId="79DEDC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878" w:type="dxa"/>
            <w:tcBorders>
              <w:top w:val="single" w:sz="6" w:space="0" w:color="auto"/>
              <w:left w:val="single" w:sz="6" w:space="0" w:color="auto"/>
              <w:bottom w:val="single" w:sz="6" w:space="0" w:color="auto"/>
              <w:right w:val="single" w:sz="6" w:space="0" w:color="auto"/>
            </w:tcBorders>
          </w:tcPr>
          <w:p w14:paraId="75CD5D4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6281A65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6" w:space="0" w:color="auto"/>
            </w:tcBorders>
          </w:tcPr>
          <w:p w14:paraId="22D7678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6" w:space="0" w:color="auto"/>
              <w:right w:val="single" w:sz="12" w:space="0" w:color="auto"/>
            </w:tcBorders>
          </w:tcPr>
          <w:p w14:paraId="3CAC16B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r w:rsidR="005559D0" w:rsidRPr="00F51D89" w14:paraId="5356CF07" w14:textId="77777777" w:rsidTr="00F51D89">
        <w:trPr>
          <w:trHeight w:val="238"/>
        </w:trPr>
        <w:tc>
          <w:tcPr>
            <w:tcW w:w="2634" w:type="dxa"/>
            <w:gridSpan w:val="2"/>
            <w:tcBorders>
              <w:top w:val="nil"/>
              <w:left w:val="nil"/>
              <w:bottom w:val="nil"/>
              <w:right w:val="nil"/>
            </w:tcBorders>
          </w:tcPr>
          <w:p w14:paraId="09327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84" w:type="dxa"/>
            <w:tcBorders>
              <w:top w:val="single" w:sz="6" w:space="0" w:color="auto"/>
              <w:left w:val="single" w:sz="12" w:space="0" w:color="auto"/>
              <w:bottom w:val="single" w:sz="12" w:space="0" w:color="auto"/>
              <w:right w:val="single" w:sz="6" w:space="0" w:color="auto"/>
            </w:tcBorders>
          </w:tcPr>
          <w:p w14:paraId="6FC7F32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1087" w:type="dxa"/>
            <w:tcBorders>
              <w:top w:val="single" w:sz="6" w:space="0" w:color="auto"/>
              <w:left w:val="single" w:sz="6" w:space="0" w:color="auto"/>
              <w:bottom w:val="single" w:sz="12" w:space="0" w:color="auto"/>
              <w:right w:val="single" w:sz="6" w:space="0" w:color="auto"/>
            </w:tcBorders>
          </w:tcPr>
          <w:p w14:paraId="64C925F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$26,000</w:t>
            </w:r>
          </w:p>
        </w:tc>
        <w:tc>
          <w:tcPr>
            <w:tcW w:w="878" w:type="dxa"/>
            <w:tcBorders>
              <w:top w:val="single" w:sz="6" w:space="0" w:color="auto"/>
              <w:left w:val="single" w:sz="6" w:space="0" w:color="auto"/>
              <w:bottom w:val="single" w:sz="12" w:space="0" w:color="auto"/>
              <w:right w:val="single" w:sz="6" w:space="0" w:color="auto"/>
            </w:tcBorders>
          </w:tcPr>
          <w:p w14:paraId="13C36BE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4B0F1C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6" w:space="0" w:color="auto"/>
            </w:tcBorders>
          </w:tcPr>
          <w:p w14:paraId="1DBB27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25" w:type="dxa"/>
            <w:tcBorders>
              <w:top w:val="single" w:sz="6" w:space="0" w:color="auto"/>
              <w:left w:val="single" w:sz="6" w:space="0" w:color="auto"/>
              <w:bottom w:val="single" w:sz="12" w:space="0" w:color="auto"/>
              <w:right w:val="single" w:sz="12" w:space="0" w:color="auto"/>
            </w:tcBorders>
          </w:tcPr>
          <w:p w14:paraId="2FD9D89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r>
    </w:tbl>
    <w:p w14:paraId="445125E5"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p>
    <w:p w14:paraId="7827A0AC"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jc w:val="both"/>
        <w:rPr>
          <w:rFonts w:asciiTheme="minorHAnsi" w:hAnsiTheme="minorHAnsi" w:cstheme="minorHAnsi"/>
          <w:b/>
          <w:spacing w:val="-2"/>
          <w:sz w:val="22"/>
          <w:szCs w:val="22"/>
        </w:rPr>
      </w:pPr>
      <w:r w:rsidRPr="00BE1CE4">
        <w:rPr>
          <w:rFonts w:asciiTheme="minorHAnsi" w:hAnsiTheme="minorHAnsi" w:cstheme="minorHAnsi"/>
          <w:b/>
          <w:spacing w:val="-2"/>
          <w:sz w:val="22"/>
          <w:szCs w:val="22"/>
        </w:rPr>
        <w:t>Partnership:</w:t>
      </w:r>
    </w:p>
    <w:tbl>
      <w:tblPr>
        <w:tblW w:w="9374"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68"/>
        <w:gridCol w:w="842"/>
        <w:gridCol w:w="1768"/>
        <w:gridCol w:w="932"/>
        <w:gridCol w:w="1016"/>
        <w:gridCol w:w="1016"/>
        <w:gridCol w:w="1016"/>
        <w:gridCol w:w="1016"/>
      </w:tblGrid>
      <w:tr w:rsidR="005559D0" w:rsidRPr="00F51D89" w14:paraId="07E24CED" w14:textId="77777777" w:rsidTr="00F51D89">
        <w:trPr>
          <w:trHeight w:val="244"/>
        </w:trPr>
        <w:tc>
          <w:tcPr>
            <w:tcW w:w="2610" w:type="dxa"/>
            <w:gridSpan w:val="2"/>
            <w:tcBorders>
              <w:top w:val="nil"/>
              <w:left w:val="nil"/>
              <w:bottom w:val="nil"/>
              <w:right w:val="nil"/>
            </w:tcBorders>
          </w:tcPr>
          <w:p w14:paraId="234BE89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12" w:space="0" w:color="auto"/>
              <w:left w:val="single" w:sz="12" w:space="0" w:color="auto"/>
              <w:bottom w:val="single" w:sz="6" w:space="0" w:color="auto"/>
              <w:right w:val="single" w:sz="6" w:space="0" w:color="auto"/>
            </w:tcBorders>
          </w:tcPr>
          <w:p w14:paraId="32259C6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Account</w:t>
            </w:r>
          </w:p>
        </w:tc>
        <w:tc>
          <w:tcPr>
            <w:tcW w:w="932" w:type="dxa"/>
            <w:tcBorders>
              <w:top w:val="single" w:sz="12" w:space="0" w:color="auto"/>
              <w:left w:val="single" w:sz="6" w:space="0" w:color="auto"/>
              <w:bottom w:val="single" w:sz="6" w:space="0" w:color="auto"/>
              <w:right w:val="single" w:sz="6" w:space="0" w:color="auto"/>
            </w:tcBorders>
          </w:tcPr>
          <w:p w14:paraId="67ECF45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#2540.0</w:t>
            </w:r>
            <w:r w:rsidRPr="00F51D89">
              <w:rPr>
                <w:rFonts w:asciiTheme="minorHAnsi" w:hAnsiTheme="minorHAnsi" w:cstheme="minorHAnsi"/>
                <w:spacing w:val="-2"/>
                <w:sz w:val="18"/>
                <w:szCs w:val="18"/>
                <w:vertAlign w:val="superscript"/>
              </w:rPr>
              <w:t>1</w:t>
            </w:r>
          </w:p>
        </w:tc>
        <w:tc>
          <w:tcPr>
            <w:tcW w:w="1016" w:type="dxa"/>
            <w:tcBorders>
              <w:top w:val="single" w:sz="12" w:space="0" w:color="auto"/>
              <w:left w:val="single" w:sz="6" w:space="0" w:color="auto"/>
              <w:bottom w:val="single" w:sz="6" w:space="0" w:color="auto"/>
              <w:right w:val="single" w:sz="6" w:space="0" w:color="auto"/>
            </w:tcBorders>
          </w:tcPr>
          <w:p w14:paraId="0866121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#4110.1</w:t>
            </w:r>
          </w:p>
        </w:tc>
        <w:tc>
          <w:tcPr>
            <w:tcW w:w="1016" w:type="dxa"/>
            <w:tcBorders>
              <w:top w:val="single" w:sz="12" w:space="0" w:color="auto"/>
              <w:left w:val="single" w:sz="6" w:space="0" w:color="auto"/>
              <w:bottom w:val="single" w:sz="6" w:space="0" w:color="auto"/>
              <w:right w:val="single" w:sz="6" w:space="0" w:color="auto"/>
            </w:tcBorders>
          </w:tcPr>
          <w:p w14:paraId="4ED17C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#5115.5</w:t>
            </w:r>
          </w:p>
        </w:tc>
        <w:tc>
          <w:tcPr>
            <w:tcW w:w="1016" w:type="dxa"/>
            <w:tcBorders>
              <w:top w:val="single" w:sz="12" w:space="0" w:color="auto"/>
              <w:left w:val="single" w:sz="6" w:space="0" w:color="auto"/>
              <w:bottom w:val="single" w:sz="6" w:space="0" w:color="auto"/>
              <w:right w:val="single" w:sz="6" w:space="0" w:color="auto"/>
            </w:tcBorders>
          </w:tcPr>
          <w:p w14:paraId="55A64E9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12" w:space="0" w:color="auto"/>
              <w:left w:val="single" w:sz="6" w:space="0" w:color="auto"/>
              <w:bottom w:val="single" w:sz="6" w:space="0" w:color="auto"/>
              <w:right w:val="single" w:sz="12" w:space="0" w:color="auto"/>
            </w:tcBorders>
          </w:tcPr>
          <w:p w14:paraId="6822534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2826C6E" w14:textId="77777777" w:rsidTr="00F51D89">
        <w:trPr>
          <w:trHeight w:val="174"/>
        </w:trPr>
        <w:tc>
          <w:tcPr>
            <w:tcW w:w="2610" w:type="dxa"/>
            <w:gridSpan w:val="2"/>
            <w:tcBorders>
              <w:top w:val="nil"/>
              <w:left w:val="nil"/>
              <w:bottom w:val="nil"/>
              <w:right w:val="nil"/>
            </w:tcBorders>
          </w:tcPr>
          <w:p w14:paraId="0FADCA1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Last Name</w:t>
            </w:r>
          </w:p>
        </w:tc>
        <w:tc>
          <w:tcPr>
            <w:tcW w:w="1768" w:type="dxa"/>
            <w:tcBorders>
              <w:top w:val="single" w:sz="6" w:space="0" w:color="auto"/>
              <w:left w:val="single" w:sz="12" w:space="0" w:color="auto"/>
              <w:bottom w:val="single" w:sz="6" w:space="0" w:color="auto"/>
              <w:right w:val="single" w:sz="6" w:space="0" w:color="auto"/>
            </w:tcBorders>
          </w:tcPr>
          <w:p w14:paraId="192D708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Time Devoted</w:t>
            </w:r>
          </w:p>
        </w:tc>
        <w:tc>
          <w:tcPr>
            <w:tcW w:w="932" w:type="dxa"/>
            <w:tcBorders>
              <w:top w:val="single" w:sz="6" w:space="0" w:color="auto"/>
              <w:left w:val="single" w:sz="6" w:space="0" w:color="auto"/>
              <w:bottom w:val="single" w:sz="6" w:space="0" w:color="auto"/>
              <w:right w:val="single" w:sz="6" w:space="0" w:color="auto"/>
            </w:tcBorders>
          </w:tcPr>
          <w:p w14:paraId="7F41AA2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152A6BB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100 % </w:t>
            </w:r>
          </w:p>
        </w:tc>
        <w:tc>
          <w:tcPr>
            <w:tcW w:w="1016" w:type="dxa"/>
            <w:tcBorders>
              <w:top w:val="single" w:sz="6" w:space="0" w:color="auto"/>
              <w:left w:val="single" w:sz="6" w:space="0" w:color="auto"/>
              <w:bottom w:val="single" w:sz="6" w:space="0" w:color="auto"/>
              <w:right w:val="single" w:sz="6" w:space="0" w:color="auto"/>
            </w:tcBorders>
          </w:tcPr>
          <w:p w14:paraId="177356E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b/>
                <w:spacing w:val="-2"/>
                <w:sz w:val="18"/>
                <w:szCs w:val="18"/>
              </w:rPr>
            </w:pPr>
            <w:r w:rsidRPr="00F51D89">
              <w:rPr>
                <w:rFonts w:asciiTheme="minorHAnsi" w:hAnsiTheme="minorHAnsi" w:cstheme="minorHAnsi"/>
                <w:b/>
                <w:spacing w:val="-2"/>
                <w:sz w:val="18"/>
                <w:szCs w:val="18"/>
              </w:rPr>
              <w:t xml:space="preserve">0% </w:t>
            </w:r>
          </w:p>
        </w:tc>
        <w:tc>
          <w:tcPr>
            <w:tcW w:w="1016" w:type="dxa"/>
            <w:tcBorders>
              <w:top w:val="single" w:sz="6" w:space="0" w:color="auto"/>
              <w:left w:val="single" w:sz="6" w:space="0" w:color="auto"/>
              <w:bottom w:val="single" w:sz="6" w:space="0" w:color="auto"/>
              <w:right w:val="single" w:sz="6" w:space="0" w:color="auto"/>
            </w:tcBorders>
          </w:tcPr>
          <w:p w14:paraId="3EDA76D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E0E37E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right"/>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15B3124" w14:textId="77777777" w:rsidTr="00F51D89">
        <w:trPr>
          <w:trHeight w:val="253"/>
        </w:trPr>
        <w:tc>
          <w:tcPr>
            <w:tcW w:w="1768" w:type="dxa"/>
            <w:tcBorders>
              <w:top w:val="nil"/>
              <w:left w:val="nil"/>
              <w:bottom w:val="single" w:sz="4" w:space="0" w:color="auto"/>
              <w:right w:val="nil"/>
            </w:tcBorders>
          </w:tcPr>
          <w:p w14:paraId="4086B2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ml:space="preserve"> Smith </w:t>
            </w:r>
          </w:p>
        </w:tc>
        <w:tc>
          <w:tcPr>
            <w:tcW w:w="842" w:type="dxa"/>
            <w:tcBorders>
              <w:top w:val="nil"/>
              <w:left w:val="nil"/>
              <w:bottom w:val="nil"/>
              <w:right w:val="nil"/>
            </w:tcBorders>
          </w:tcPr>
          <w:p w14:paraId="0A8ABD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07A7338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Salary</w:t>
            </w:r>
          </w:p>
        </w:tc>
        <w:tc>
          <w:tcPr>
            <w:tcW w:w="932" w:type="dxa"/>
            <w:tcBorders>
              <w:top w:val="single" w:sz="6" w:space="0" w:color="auto"/>
              <w:left w:val="single" w:sz="6" w:space="0" w:color="auto"/>
              <w:bottom w:val="single" w:sz="6" w:space="0" w:color="auto"/>
              <w:right w:val="single" w:sz="6" w:space="0" w:color="auto"/>
            </w:tcBorders>
          </w:tcPr>
          <w:p w14:paraId="346FB6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CAEAB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$30,000</w:t>
            </w:r>
          </w:p>
        </w:tc>
        <w:tc>
          <w:tcPr>
            <w:tcW w:w="1016" w:type="dxa"/>
            <w:tcBorders>
              <w:top w:val="single" w:sz="6" w:space="0" w:color="auto"/>
              <w:left w:val="single" w:sz="6" w:space="0" w:color="auto"/>
              <w:bottom w:val="single" w:sz="6" w:space="0" w:color="auto"/>
              <w:right w:val="single" w:sz="6" w:space="0" w:color="auto"/>
            </w:tcBorders>
          </w:tcPr>
          <w:p w14:paraId="13E9007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CC299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088F63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583F5902" w14:textId="77777777" w:rsidTr="00F51D89">
        <w:trPr>
          <w:trHeight w:val="244"/>
        </w:trPr>
        <w:tc>
          <w:tcPr>
            <w:tcW w:w="2610" w:type="dxa"/>
            <w:gridSpan w:val="2"/>
            <w:tcBorders>
              <w:top w:val="nil"/>
              <w:left w:val="nil"/>
              <w:bottom w:val="nil"/>
              <w:right w:val="nil"/>
            </w:tcBorders>
          </w:tcPr>
          <w:p w14:paraId="427907A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First Name</w:t>
            </w:r>
          </w:p>
        </w:tc>
        <w:tc>
          <w:tcPr>
            <w:tcW w:w="1768" w:type="dxa"/>
            <w:tcBorders>
              <w:top w:val="single" w:sz="6" w:space="0" w:color="auto"/>
              <w:left w:val="single" w:sz="12" w:space="0" w:color="auto"/>
              <w:bottom w:val="single" w:sz="6" w:space="0" w:color="auto"/>
              <w:right w:val="single" w:sz="6" w:space="0" w:color="auto"/>
            </w:tcBorders>
          </w:tcPr>
          <w:p w14:paraId="38273AE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Employee Benefits</w:t>
            </w:r>
          </w:p>
        </w:tc>
        <w:tc>
          <w:tcPr>
            <w:tcW w:w="932" w:type="dxa"/>
            <w:tcBorders>
              <w:top w:val="single" w:sz="6" w:space="0" w:color="auto"/>
              <w:left w:val="single" w:sz="6" w:space="0" w:color="auto"/>
              <w:bottom w:val="single" w:sz="6" w:space="0" w:color="auto"/>
              <w:right w:val="single" w:sz="6" w:space="0" w:color="auto"/>
            </w:tcBorders>
          </w:tcPr>
          <w:p w14:paraId="540C0FC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6DC721C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$ 3,555</w:t>
            </w:r>
          </w:p>
        </w:tc>
        <w:tc>
          <w:tcPr>
            <w:tcW w:w="1016" w:type="dxa"/>
            <w:tcBorders>
              <w:top w:val="single" w:sz="6" w:space="0" w:color="auto"/>
              <w:left w:val="single" w:sz="6" w:space="0" w:color="auto"/>
              <w:bottom w:val="single" w:sz="6" w:space="0" w:color="auto"/>
              <w:right w:val="single" w:sz="6" w:space="0" w:color="auto"/>
            </w:tcBorders>
          </w:tcPr>
          <w:p w14:paraId="0B67EE9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2D38F74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7D73A2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1DD3F4E" w14:textId="77777777" w:rsidTr="00F51D89">
        <w:trPr>
          <w:trHeight w:val="244"/>
        </w:trPr>
        <w:tc>
          <w:tcPr>
            <w:tcW w:w="2610" w:type="dxa"/>
            <w:gridSpan w:val="2"/>
            <w:tcBorders>
              <w:top w:val="nil"/>
              <w:left w:val="nil"/>
              <w:bottom w:val="nil"/>
              <w:right w:val="nil"/>
            </w:tcBorders>
          </w:tcPr>
          <w:p w14:paraId="1146910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u w:val="single"/>
              </w:rPr>
            </w:pPr>
          </w:p>
        </w:tc>
        <w:tc>
          <w:tcPr>
            <w:tcW w:w="1768" w:type="dxa"/>
            <w:tcBorders>
              <w:top w:val="single" w:sz="6" w:space="0" w:color="auto"/>
              <w:left w:val="single" w:sz="12" w:space="0" w:color="auto"/>
              <w:bottom w:val="single" w:sz="6" w:space="0" w:color="auto"/>
              <w:right w:val="single" w:sz="6" w:space="0" w:color="auto"/>
            </w:tcBorders>
          </w:tcPr>
          <w:p w14:paraId="5B35565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Payroll Taxes</w:t>
            </w:r>
          </w:p>
        </w:tc>
        <w:tc>
          <w:tcPr>
            <w:tcW w:w="932" w:type="dxa"/>
            <w:tcBorders>
              <w:top w:val="single" w:sz="6" w:space="0" w:color="auto"/>
              <w:left w:val="single" w:sz="6" w:space="0" w:color="auto"/>
              <w:bottom w:val="single" w:sz="6" w:space="0" w:color="auto"/>
              <w:right w:val="single" w:sz="6" w:space="0" w:color="auto"/>
            </w:tcBorders>
          </w:tcPr>
          <w:p w14:paraId="283EEB7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10DB876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$ 2,455</w:t>
            </w:r>
          </w:p>
        </w:tc>
        <w:tc>
          <w:tcPr>
            <w:tcW w:w="1016" w:type="dxa"/>
            <w:tcBorders>
              <w:top w:val="single" w:sz="6" w:space="0" w:color="auto"/>
              <w:left w:val="single" w:sz="6" w:space="0" w:color="auto"/>
              <w:bottom w:val="single" w:sz="6" w:space="0" w:color="auto"/>
              <w:right w:val="single" w:sz="6" w:space="0" w:color="auto"/>
            </w:tcBorders>
          </w:tcPr>
          <w:p w14:paraId="50E7229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E27957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F9E959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E473468" w14:textId="77777777" w:rsidTr="00F51D89">
        <w:trPr>
          <w:trHeight w:val="253"/>
        </w:trPr>
        <w:tc>
          <w:tcPr>
            <w:tcW w:w="1768" w:type="dxa"/>
            <w:tcBorders>
              <w:top w:val="nil"/>
              <w:left w:val="nil"/>
              <w:bottom w:val="single" w:sz="4" w:space="0" w:color="auto"/>
              <w:right w:val="nil"/>
            </w:tcBorders>
          </w:tcPr>
          <w:p w14:paraId="7FD28CC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Judith</w:t>
            </w:r>
            <w:r w:rsidRPr="00F51D89">
              <w:rPr>
                <w:rFonts w:asciiTheme="minorHAnsi" w:hAnsiTheme="minorHAnsi" w:cstheme="minorHAnsi"/>
                <w:spacing w:val="-2"/>
                <w:sz w:val="18"/>
                <w:szCs w:val="18"/>
                <w:u w:val="single"/>
              </w:rPr>
              <w:t xml:space="preserve"> </w:t>
            </w:r>
          </w:p>
        </w:tc>
        <w:tc>
          <w:tcPr>
            <w:tcW w:w="842" w:type="dxa"/>
            <w:tcBorders>
              <w:top w:val="nil"/>
              <w:left w:val="nil"/>
              <w:bottom w:val="nil"/>
              <w:right w:val="nil"/>
            </w:tcBorders>
          </w:tcPr>
          <w:p w14:paraId="4B703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6" w:space="0" w:color="auto"/>
              <w:right w:val="single" w:sz="6" w:space="0" w:color="auto"/>
            </w:tcBorders>
          </w:tcPr>
          <w:p w14:paraId="2A4C0C11"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Workers’ Comp.</w:t>
            </w:r>
          </w:p>
        </w:tc>
        <w:tc>
          <w:tcPr>
            <w:tcW w:w="932" w:type="dxa"/>
            <w:tcBorders>
              <w:top w:val="single" w:sz="6" w:space="0" w:color="auto"/>
              <w:left w:val="single" w:sz="6" w:space="0" w:color="auto"/>
              <w:bottom w:val="single" w:sz="6" w:space="0" w:color="auto"/>
              <w:right w:val="single" w:sz="6" w:space="0" w:color="auto"/>
            </w:tcBorders>
          </w:tcPr>
          <w:p w14:paraId="4277BB0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64F912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   575</w:t>
            </w:r>
          </w:p>
        </w:tc>
        <w:tc>
          <w:tcPr>
            <w:tcW w:w="1016" w:type="dxa"/>
            <w:tcBorders>
              <w:top w:val="single" w:sz="6" w:space="0" w:color="auto"/>
              <w:left w:val="single" w:sz="6" w:space="0" w:color="auto"/>
              <w:bottom w:val="single" w:sz="6" w:space="0" w:color="auto"/>
              <w:right w:val="single" w:sz="6" w:space="0" w:color="auto"/>
            </w:tcBorders>
          </w:tcPr>
          <w:p w14:paraId="35805E2F"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8AA02D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4D3B12A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1A045627" w14:textId="77777777" w:rsidTr="00F51D89">
        <w:trPr>
          <w:trHeight w:val="244"/>
        </w:trPr>
        <w:tc>
          <w:tcPr>
            <w:tcW w:w="2610" w:type="dxa"/>
            <w:gridSpan w:val="2"/>
            <w:tcBorders>
              <w:top w:val="nil"/>
              <w:left w:val="nil"/>
              <w:bottom w:val="nil"/>
              <w:right w:val="nil"/>
            </w:tcBorders>
          </w:tcPr>
          <w:p w14:paraId="3CB26C4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Title</w:t>
            </w:r>
          </w:p>
        </w:tc>
        <w:tc>
          <w:tcPr>
            <w:tcW w:w="1768" w:type="dxa"/>
            <w:tcBorders>
              <w:top w:val="single" w:sz="6" w:space="0" w:color="auto"/>
              <w:left w:val="single" w:sz="12" w:space="0" w:color="auto"/>
              <w:bottom w:val="single" w:sz="6" w:space="0" w:color="auto"/>
              <w:right w:val="single" w:sz="6" w:space="0" w:color="auto"/>
            </w:tcBorders>
          </w:tcPr>
          <w:p w14:paraId="23F081E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Draw</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5CB3ADBE"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6" w:space="0" w:color="auto"/>
              <w:right w:val="single" w:sz="6" w:space="0" w:color="auto"/>
            </w:tcBorders>
          </w:tcPr>
          <w:p w14:paraId="741D286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1DA454E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445A1F6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5074559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696FE111" w14:textId="77777777" w:rsidTr="00F51D89">
        <w:trPr>
          <w:trHeight w:val="244"/>
        </w:trPr>
        <w:tc>
          <w:tcPr>
            <w:tcW w:w="2610" w:type="dxa"/>
            <w:gridSpan w:val="2"/>
            <w:tcBorders>
              <w:top w:val="nil"/>
              <w:left w:val="nil"/>
              <w:bottom w:val="nil"/>
              <w:right w:val="nil"/>
            </w:tcBorders>
          </w:tcPr>
          <w:p w14:paraId="3369D6E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Circle one:</w:t>
            </w:r>
          </w:p>
        </w:tc>
        <w:tc>
          <w:tcPr>
            <w:tcW w:w="1768" w:type="dxa"/>
            <w:tcBorders>
              <w:top w:val="single" w:sz="6" w:space="0" w:color="auto"/>
              <w:left w:val="single" w:sz="12" w:space="0" w:color="auto"/>
              <w:bottom w:val="single" w:sz="6" w:space="0" w:color="auto"/>
              <w:right w:val="single" w:sz="6" w:space="0" w:color="auto"/>
            </w:tcBorders>
          </w:tcPr>
          <w:p w14:paraId="7E6659B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r w:rsidRPr="00F51D89">
              <w:rPr>
                <w:rFonts w:asciiTheme="minorHAnsi" w:hAnsiTheme="minorHAnsi" w:cstheme="minorHAnsi"/>
                <w:b/>
                <w:spacing w:val="-2"/>
                <w:sz w:val="18"/>
                <w:szCs w:val="18"/>
                <w:u w:val="single"/>
              </w:rPr>
              <w:t>Plant Sup</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78CE713"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338987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3E2DF975"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6" w:space="0" w:color="auto"/>
              <w:right w:val="single" w:sz="6" w:space="0" w:color="auto"/>
            </w:tcBorders>
          </w:tcPr>
          <w:p w14:paraId="04C7E4F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3A8451B"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6C46D0D" w14:textId="77777777" w:rsidTr="00F51D89">
        <w:trPr>
          <w:trHeight w:val="253"/>
        </w:trPr>
        <w:tc>
          <w:tcPr>
            <w:tcW w:w="2610" w:type="dxa"/>
            <w:gridSpan w:val="2"/>
            <w:tcBorders>
              <w:top w:val="nil"/>
              <w:left w:val="nil"/>
              <w:bottom w:val="nil"/>
              <w:right w:val="nil"/>
            </w:tcBorders>
          </w:tcPr>
          <w:p w14:paraId="041A353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roofErr w:type="gramStart"/>
            <w:r w:rsidRPr="00F51D89">
              <w:rPr>
                <w:rFonts w:asciiTheme="minorHAnsi" w:hAnsiTheme="minorHAnsi" w:cstheme="minorHAnsi"/>
                <w:spacing w:val="-2"/>
                <w:sz w:val="18"/>
                <w:szCs w:val="18"/>
              </w:rPr>
              <w:t>Owner  /</w:t>
            </w:r>
            <w:proofErr w:type="gramEnd"/>
            <w:r w:rsidRPr="00F51D89">
              <w:rPr>
                <w:rFonts w:asciiTheme="minorHAnsi" w:hAnsiTheme="minorHAnsi" w:cstheme="minorHAnsi"/>
                <w:spacing w:val="-2"/>
                <w:sz w:val="18"/>
                <w:szCs w:val="18"/>
              </w:rPr>
              <w:t xml:space="preserve">  Officer  / </w:t>
            </w:r>
            <w:r w:rsidRPr="00F51D89">
              <w:rPr>
                <w:rFonts w:asciiTheme="minorHAnsi" w:hAnsiTheme="minorHAnsi" w:cstheme="minorHAnsi"/>
                <w:b/>
                <w:spacing w:val="-2"/>
                <w:sz w:val="18"/>
                <w:szCs w:val="18"/>
              </w:rPr>
              <w:t xml:space="preserve"> Partner </w:t>
            </w:r>
          </w:p>
        </w:tc>
        <w:tc>
          <w:tcPr>
            <w:tcW w:w="1768" w:type="dxa"/>
            <w:tcBorders>
              <w:top w:val="single" w:sz="6" w:space="0" w:color="auto"/>
              <w:left w:val="single" w:sz="12" w:space="0" w:color="auto"/>
              <w:bottom w:val="single" w:sz="6" w:space="0" w:color="auto"/>
              <w:right w:val="single" w:sz="6" w:space="0" w:color="auto"/>
            </w:tcBorders>
          </w:tcPr>
          <w:p w14:paraId="7C78A2B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Other:</w:t>
            </w:r>
            <w:r w:rsidRPr="00F51D89">
              <w:rPr>
                <w:rFonts w:asciiTheme="minorHAnsi" w:hAnsiTheme="minorHAnsi" w:cstheme="minorHAnsi"/>
                <w:spacing w:val="-2"/>
                <w:sz w:val="18"/>
                <w:szCs w:val="18"/>
                <w:u w:val="single"/>
              </w:rPr>
              <w:t xml:space="preserve">                 </w:t>
            </w:r>
          </w:p>
        </w:tc>
        <w:tc>
          <w:tcPr>
            <w:tcW w:w="932" w:type="dxa"/>
            <w:tcBorders>
              <w:top w:val="single" w:sz="6" w:space="0" w:color="auto"/>
              <w:left w:val="single" w:sz="6" w:space="0" w:color="auto"/>
              <w:bottom w:val="single" w:sz="6" w:space="0" w:color="auto"/>
              <w:right w:val="single" w:sz="6" w:space="0" w:color="auto"/>
            </w:tcBorders>
          </w:tcPr>
          <w:p w14:paraId="3B06827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 XXX</w:t>
            </w:r>
          </w:p>
        </w:tc>
        <w:tc>
          <w:tcPr>
            <w:tcW w:w="1016" w:type="dxa"/>
            <w:tcBorders>
              <w:top w:val="single" w:sz="6" w:space="0" w:color="auto"/>
              <w:left w:val="single" w:sz="6" w:space="0" w:color="auto"/>
              <w:bottom w:val="single" w:sz="6" w:space="0" w:color="auto"/>
              <w:right w:val="single" w:sz="6" w:space="0" w:color="auto"/>
            </w:tcBorders>
          </w:tcPr>
          <w:p w14:paraId="03C72BF4"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0AEDEFA2"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6" w:space="0" w:color="auto"/>
            </w:tcBorders>
          </w:tcPr>
          <w:p w14:paraId="650ED1F9"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6" w:space="0" w:color="auto"/>
              <w:right w:val="single" w:sz="12" w:space="0" w:color="auto"/>
            </w:tcBorders>
          </w:tcPr>
          <w:p w14:paraId="049A192C"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r w:rsidR="005559D0" w:rsidRPr="00F51D89" w14:paraId="2D78ABFE" w14:textId="77777777" w:rsidTr="00F51D89">
        <w:trPr>
          <w:trHeight w:val="244"/>
        </w:trPr>
        <w:tc>
          <w:tcPr>
            <w:tcW w:w="2610" w:type="dxa"/>
            <w:gridSpan w:val="2"/>
            <w:tcBorders>
              <w:top w:val="nil"/>
              <w:left w:val="nil"/>
              <w:bottom w:val="nil"/>
              <w:right w:val="nil"/>
            </w:tcBorders>
          </w:tcPr>
          <w:p w14:paraId="58984AD0"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p>
        </w:tc>
        <w:tc>
          <w:tcPr>
            <w:tcW w:w="1768" w:type="dxa"/>
            <w:tcBorders>
              <w:top w:val="single" w:sz="6" w:space="0" w:color="auto"/>
              <w:left w:val="single" w:sz="12" w:space="0" w:color="auto"/>
              <w:bottom w:val="single" w:sz="12" w:space="0" w:color="auto"/>
              <w:right w:val="single" w:sz="6" w:space="0" w:color="auto"/>
            </w:tcBorders>
          </w:tcPr>
          <w:p w14:paraId="657AE527"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Total</w:t>
            </w:r>
          </w:p>
        </w:tc>
        <w:tc>
          <w:tcPr>
            <w:tcW w:w="932" w:type="dxa"/>
            <w:tcBorders>
              <w:top w:val="single" w:sz="6" w:space="0" w:color="auto"/>
              <w:left w:val="single" w:sz="6" w:space="0" w:color="auto"/>
              <w:bottom w:val="single" w:sz="12" w:space="0" w:color="auto"/>
              <w:right w:val="single" w:sz="6" w:space="0" w:color="auto"/>
            </w:tcBorders>
          </w:tcPr>
          <w:p w14:paraId="36B5EFF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$16,000</w:t>
            </w:r>
          </w:p>
        </w:tc>
        <w:tc>
          <w:tcPr>
            <w:tcW w:w="1016" w:type="dxa"/>
            <w:tcBorders>
              <w:top w:val="single" w:sz="6" w:space="0" w:color="auto"/>
              <w:left w:val="single" w:sz="6" w:space="0" w:color="auto"/>
              <w:bottom w:val="single" w:sz="12" w:space="0" w:color="auto"/>
              <w:right w:val="single" w:sz="6" w:space="0" w:color="auto"/>
            </w:tcBorders>
          </w:tcPr>
          <w:p w14:paraId="7CC3DF06"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$36,585</w:t>
            </w:r>
          </w:p>
        </w:tc>
        <w:tc>
          <w:tcPr>
            <w:tcW w:w="1016" w:type="dxa"/>
            <w:tcBorders>
              <w:top w:val="single" w:sz="6" w:space="0" w:color="auto"/>
              <w:left w:val="single" w:sz="6" w:space="0" w:color="auto"/>
              <w:bottom w:val="single" w:sz="12" w:space="0" w:color="auto"/>
              <w:right w:val="single" w:sz="6" w:space="0" w:color="auto"/>
            </w:tcBorders>
          </w:tcPr>
          <w:p w14:paraId="014FD288"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b/>
                <w:spacing w:val="-2"/>
                <w:sz w:val="18"/>
                <w:szCs w:val="18"/>
              </w:rPr>
            </w:pPr>
            <w:r w:rsidRPr="00F51D89">
              <w:rPr>
                <w:rFonts w:asciiTheme="minorHAnsi" w:hAnsiTheme="minorHAnsi" w:cstheme="minorHAnsi"/>
                <w:b/>
                <w:spacing w:val="-2"/>
                <w:sz w:val="18"/>
                <w:szCs w:val="18"/>
              </w:rPr>
              <w:t>$1,500</w:t>
            </w:r>
          </w:p>
        </w:tc>
        <w:tc>
          <w:tcPr>
            <w:tcW w:w="1016" w:type="dxa"/>
            <w:tcBorders>
              <w:top w:val="single" w:sz="6" w:space="0" w:color="auto"/>
              <w:left w:val="single" w:sz="6" w:space="0" w:color="auto"/>
              <w:bottom w:val="single" w:sz="12" w:space="0" w:color="auto"/>
              <w:right w:val="single" w:sz="6" w:space="0" w:color="auto"/>
            </w:tcBorders>
          </w:tcPr>
          <w:p w14:paraId="6E4C6DDD"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c>
          <w:tcPr>
            <w:tcW w:w="1016" w:type="dxa"/>
            <w:tcBorders>
              <w:top w:val="single" w:sz="6" w:space="0" w:color="auto"/>
              <w:left w:val="single" w:sz="6" w:space="0" w:color="auto"/>
              <w:bottom w:val="single" w:sz="12" w:space="0" w:color="auto"/>
              <w:right w:val="single" w:sz="12" w:space="0" w:color="auto"/>
            </w:tcBorders>
          </w:tcPr>
          <w:p w14:paraId="051FBBEA" w14:textId="77777777" w:rsidR="005559D0" w:rsidRPr="00F51D89" w:rsidRDefault="005559D0" w:rsidP="00DA0B2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rFonts w:asciiTheme="minorHAnsi" w:hAnsiTheme="minorHAnsi" w:cstheme="minorHAnsi"/>
                <w:spacing w:val="-2"/>
                <w:sz w:val="18"/>
                <w:szCs w:val="18"/>
              </w:rPr>
            </w:pPr>
            <w:r w:rsidRPr="00F51D89">
              <w:rPr>
                <w:rFonts w:asciiTheme="minorHAnsi" w:hAnsiTheme="minorHAnsi" w:cstheme="minorHAnsi"/>
                <w:spacing w:val="-2"/>
                <w:sz w:val="18"/>
                <w:szCs w:val="18"/>
              </w:rPr>
              <w:t>$</w:t>
            </w:r>
          </w:p>
        </w:tc>
      </w:tr>
    </w:tbl>
    <w:p w14:paraId="096AFAA8"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681EA82A" w14:textId="1324BE47" w:rsidR="005559D0" w:rsidRPr="00BE1CE4" w:rsidRDefault="002E152E" w:rsidP="005559D0">
      <w:pPr>
        <w:ind w:left="288"/>
        <w:rPr>
          <w:rFonts w:asciiTheme="minorHAnsi" w:hAnsiTheme="minorHAnsi" w:cstheme="minorHAnsi"/>
          <w:b/>
          <w:sz w:val="22"/>
          <w:szCs w:val="22"/>
          <w:u w:val="single"/>
        </w:rPr>
      </w:pPr>
      <w:r>
        <w:rPr>
          <w:rFonts w:asciiTheme="minorHAnsi" w:hAnsiTheme="minorHAnsi" w:cstheme="minorHAnsi"/>
          <w:b/>
          <w:sz w:val="22"/>
          <w:szCs w:val="22"/>
          <w:u w:val="single"/>
        </w:rPr>
        <w:t xml:space="preserve">Schedule of </w:t>
      </w:r>
      <w:r w:rsidR="005559D0" w:rsidRPr="00BE1CE4">
        <w:rPr>
          <w:rFonts w:asciiTheme="minorHAnsi" w:hAnsiTheme="minorHAnsi" w:cstheme="minorHAnsi"/>
          <w:b/>
          <w:sz w:val="22"/>
          <w:szCs w:val="22"/>
          <w:u w:val="single"/>
        </w:rPr>
        <w:t>Highest Paid Salaries</w:t>
      </w:r>
    </w:p>
    <w:p w14:paraId="7B2648BE" w14:textId="05A13A75" w:rsidR="005559D0" w:rsidRPr="00BE1CE4" w:rsidRDefault="005559D0" w:rsidP="005559D0">
      <w:pPr>
        <w:ind w:left="288"/>
        <w:rPr>
          <w:rFonts w:asciiTheme="minorHAnsi" w:hAnsiTheme="minorHAnsi" w:cstheme="minorHAnsi"/>
          <w:sz w:val="22"/>
          <w:szCs w:val="22"/>
        </w:rPr>
      </w:pPr>
      <w:r w:rsidRPr="00BE1CE4">
        <w:rPr>
          <w:rFonts w:asciiTheme="minorHAnsi" w:hAnsiTheme="minorHAnsi" w:cstheme="minorHAnsi"/>
          <w:sz w:val="22"/>
          <w:szCs w:val="22"/>
        </w:rPr>
        <w:t xml:space="preserve">The names, </w:t>
      </w:r>
      <w:r w:rsidR="006D3BC6" w:rsidRPr="00BE1CE4">
        <w:rPr>
          <w:rFonts w:asciiTheme="minorHAnsi" w:hAnsiTheme="minorHAnsi" w:cstheme="minorHAnsi"/>
          <w:sz w:val="22"/>
          <w:szCs w:val="22"/>
        </w:rPr>
        <w:t>salaries,</w:t>
      </w:r>
      <w:r w:rsidRPr="00BE1CE4">
        <w:rPr>
          <w:rFonts w:asciiTheme="minorHAnsi" w:hAnsiTheme="minorHAnsi" w:cstheme="minorHAnsi"/>
          <w:sz w:val="22"/>
          <w:szCs w:val="22"/>
        </w:rPr>
        <w:t xml:space="preserve"> and benefits of the three employees who have the highest compensation being claimed </w:t>
      </w:r>
      <w:proofErr w:type="gramStart"/>
      <w:r w:rsidRPr="00BE1CE4">
        <w:rPr>
          <w:rFonts w:asciiTheme="minorHAnsi" w:hAnsiTheme="minorHAnsi" w:cstheme="minorHAnsi"/>
          <w:sz w:val="22"/>
          <w:szCs w:val="22"/>
        </w:rPr>
        <w:t>on</w:t>
      </w:r>
      <w:proofErr w:type="gramEnd"/>
      <w:r w:rsidRPr="00BE1CE4">
        <w:rPr>
          <w:rFonts w:asciiTheme="minorHAnsi" w:hAnsiTheme="minorHAnsi" w:cstheme="minorHAnsi"/>
          <w:sz w:val="22"/>
          <w:szCs w:val="22"/>
        </w:rPr>
        <w:t xml:space="preserve"> this report must be disclosed in this schedule.  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06C19A0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C3F0C3B"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u w:val="single"/>
        </w:rPr>
        <w:t xml:space="preserve">Footnotes and Explanations </w:t>
      </w:r>
    </w:p>
    <w:p w14:paraId="29C51FC8" w14:textId="7830B909"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z w:val="22"/>
          <w:szCs w:val="22"/>
        </w:rPr>
        <w:t xml:space="preserve">This page is used to provide detail to any of the information provided on the HCF-3 report that needs elaboration, </w:t>
      </w:r>
      <w:r w:rsidR="006D3BC6" w:rsidRPr="00BE1CE4">
        <w:rPr>
          <w:rFonts w:asciiTheme="minorHAnsi" w:hAnsiTheme="minorHAnsi" w:cstheme="minorHAnsi"/>
          <w:sz w:val="22"/>
          <w:szCs w:val="22"/>
        </w:rPr>
        <w:t>explanation,</w:t>
      </w:r>
      <w:r w:rsidRPr="00BE1CE4">
        <w:rPr>
          <w:rFonts w:asciiTheme="minorHAnsi" w:hAnsiTheme="minorHAnsi" w:cstheme="minorHAnsi"/>
          <w:sz w:val="22"/>
          <w:szCs w:val="22"/>
        </w:rPr>
        <w:t xml:space="preserve"> or clarification.</w:t>
      </w:r>
      <w:r w:rsidRPr="00BE1CE4" w:rsidDel="00B3339C">
        <w:rPr>
          <w:rFonts w:asciiTheme="minorHAnsi" w:hAnsiTheme="minorHAnsi" w:cstheme="minorHAnsi"/>
          <w:sz w:val="22"/>
          <w:szCs w:val="22"/>
        </w:rPr>
        <w:t xml:space="preserve"> </w:t>
      </w:r>
      <w:r w:rsidRPr="00BE1CE4">
        <w:rPr>
          <w:rFonts w:asciiTheme="minorHAnsi" w:hAnsiTheme="minorHAnsi" w:cstheme="minorHAnsi"/>
          <w:sz w:val="22"/>
          <w:szCs w:val="22"/>
        </w:rPr>
        <w:t xml:space="preserve"> </w:t>
      </w:r>
      <w:r w:rsidRPr="00BE1CE4">
        <w:rPr>
          <w:rFonts w:asciiTheme="minorHAnsi" w:hAnsiTheme="minorHAnsi" w:cstheme="minorHAnsi"/>
          <w:spacing w:val="-3"/>
          <w:sz w:val="22"/>
          <w:szCs w:val="22"/>
        </w:rPr>
        <w:t xml:space="preserve"> Examples of accounts which may need further explanation </w:t>
      </w:r>
      <w:r w:rsidR="006D3BC6" w:rsidRPr="00BE1CE4">
        <w:rPr>
          <w:rFonts w:asciiTheme="minorHAnsi" w:hAnsiTheme="minorHAnsi" w:cstheme="minorHAnsi"/>
          <w:spacing w:val="-3"/>
          <w:sz w:val="22"/>
          <w:szCs w:val="22"/>
        </w:rPr>
        <w:t>include but</w:t>
      </w:r>
      <w:r w:rsidRPr="00BE1CE4">
        <w:rPr>
          <w:rFonts w:asciiTheme="minorHAnsi" w:hAnsiTheme="minorHAnsi" w:cstheme="minorHAnsi"/>
          <w:spacing w:val="-3"/>
          <w:sz w:val="22"/>
          <w:szCs w:val="22"/>
        </w:rPr>
        <w:t xml:space="preserve"> are not limited to</w:t>
      </w:r>
      <w:proofErr w:type="gramStart"/>
      <w:r w:rsidRPr="00BE1CE4">
        <w:rPr>
          <w:rFonts w:asciiTheme="minorHAnsi" w:hAnsiTheme="minorHAnsi" w:cstheme="minorHAnsi"/>
          <w:spacing w:val="-3"/>
          <w:sz w:val="22"/>
          <w:szCs w:val="22"/>
        </w:rPr>
        <w:t>:  Pension</w:t>
      </w:r>
      <w:proofErr w:type="gramEnd"/>
      <w:r w:rsidRPr="00BE1CE4">
        <w:rPr>
          <w:rFonts w:asciiTheme="minorHAnsi" w:hAnsiTheme="minorHAnsi" w:cstheme="minorHAnsi"/>
          <w:spacing w:val="-3"/>
          <w:sz w:val="22"/>
          <w:szCs w:val="22"/>
        </w:rPr>
        <w:t xml:space="preserve"> Expense (type of plan, method of funding and vesting criteria); Other Assets (1980.0); Cost Splitting among different accounts; and Rent Expense, except for real property.  </w:t>
      </w:r>
    </w:p>
    <w:p w14:paraId="0A610829"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782D1D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SCHEDULES</w:t>
      </w:r>
    </w:p>
    <w:p w14:paraId="00B8900E" w14:textId="6ED1A4BC" w:rsidR="005559D0" w:rsidRPr="00BE1CE4" w:rsidRDefault="005559D0" w:rsidP="005559D0">
      <w:pPr>
        <w:tabs>
          <w:tab w:val="left" w:pos="-720"/>
          <w:tab w:val="left" w:pos="360"/>
        </w:tabs>
        <w:suppressAutoHyphens/>
        <w:ind w:left="36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w:t>
      </w:r>
      <w:r w:rsidRPr="00BE1CE4">
        <w:rPr>
          <w:rFonts w:asciiTheme="minorHAnsi" w:hAnsiTheme="minorHAnsi" w:cstheme="minorHAnsi"/>
          <w:b/>
          <w:spacing w:val="-3"/>
          <w:sz w:val="22"/>
          <w:szCs w:val="22"/>
        </w:rPr>
        <w:tab/>
        <w:t xml:space="preserve">Balance Sheet: The balance sheet accounts in the HCF-3 are </w:t>
      </w:r>
      <w:r w:rsidR="006D3BC6" w:rsidRPr="00BE1CE4">
        <w:rPr>
          <w:rFonts w:asciiTheme="minorHAnsi" w:hAnsiTheme="minorHAnsi" w:cstheme="minorHAnsi"/>
          <w:b/>
          <w:spacing w:val="-3"/>
          <w:sz w:val="22"/>
          <w:szCs w:val="22"/>
        </w:rPr>
        <w:t>like</w:t>
      </w:r>
      <w:r w:rsidRPr="00BE1CE4">
        <w:rPr>
          <w:rFonts w:asciiTheme="minorHAnsi" w:hAnsiTheme="minorHAnsi" w:cstheme="minorHAnsi"/>
          <w:b/>
          <w:spacing w:val="-3"/>
          <w:sz w:val="22"/>
          <w:szCs w:val="22"/>
        </w:rPr>
        <w:t xml:space="preserve"> those in the HCF-4.  Please refer to the definitions in the HCF-4 instructions.</w:t>
      </w:r>
    </w:p>
    <w:p w14:paraId="437B1AFD" w14:textId="77777777" w:rsidR="005559D0" w:rsidRPr="00BE1CE4" w:rsidRDefault="005559D0" w:rsidP="005559D0">
      <w:pPr>
        <w:tabs>
          <w:tab w:val="left" w:pos="-720"/>
          <w:tab w:val="left" w:pos="360"/>
        </w:tabs>
        <w:suppressAutoHyphens/>
        <w:ind w:left="360" w:hanging="360"/>
        <w:jc w:val="both"/>
        <w:rPr>
          <w:rFonts w:asciiTheme="minorHAnsi" w:hAnsiTheme="minorHAnsi" w:cstheme="minorHAnsi"/>
          <w:spacing w:val="-3"/>
          <w:sz w:val="22"/>
          <w:szCs w:val="22"/>
        </w:rPr>
      </w:pPr>
    </w:p>
    <w:p w14:paraId="64C734B3" w14:textId="77777777" w:rsidR="005559D0" w:rsidRPr="00BE1CE4" w:rsidRDefault="005559D0" w:rsidP="005559D0">
      <w:pPr>
        <w:tabs>
          <w:tab w:val="center" w:pos="468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2</w:t>
      </w:r>
      <w:proofErr w:type="gramStart"/>
      <w:r w:rsidRPr="00BE1CE4">
        <w:rPr>
          <w:rFonts w:asciiTheme="minorHAnsi" w:hAnsiTheme="minorHAnsi" w:cstheme="minorHAnsi"/>
          <w:b/>
          <w:spacing w:val="-3"/>
          <w:sz w:val="22"/>
          <w:szCs w:val="22"/>
        </w:rPr>
        <w:t>:  Statement</w:t>
      </w:r>
      <w:proofErr w:type="gramEnd"/>
      <w:r w:rsidRPr="00BE1CE4">
        <w:rPr>
          <w:rFonts w:asciiTheme="minorHAnsi" w:hAnsiTheme="minorHAnsi" w:cstheme="minorHAnsi"/>
          <w:b/>
          <w:spacing w:val="-3"/>
          <w:sz w:val="22"/>
          <w:szCs w:val="22"/>
        </w:rPr>
        <w:t xml:space="preserve"> of Profit and Loss:  </w:t>
      </w:r>
    </w:p>
    <w:p w14:paraId="493DA5B2" w14:textId="1B80FCB0" w:rsidR="005559D0" w:rsidRPr="00BE1CE4" w:rsidRDefault="005559D0" w:rsidP="005559D0">
      <w:pPr>
        <w:tabs>
          <w:tab w:val="center" w:pos="468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rPr>
        <w:t xml:space="preserve">The HCF-3 has been formatted based on the </w:t>
      </w:r>
      <w:r w:rsidR="0020702E">
        <w:rPr>
          <w:rFonts w:asciiTheme="minorHAnsi" w:hAnsiTheme="minorHAnsi" w:cstheme="minorHAnsi"/>
          <w:spacing w:val="-3"/>
          <w:sz w:val="22"/>
          <w:szCs w:val="22"/>
        </w:rPr>
        <w:t>SNF-</w:t>
      </w:r>
      <w:proofErr w:type="gramStart"/>
      <w:r w:rsidR="0020702E">
        <w:rPr>
          <w:rFonts w:asciiTheme="minorHAnsi" w:hAnsiTheme="minorHAnsi" w:cstheme="minorHAnsi"/>
          <w:spacing w:val="-3"/>
          <w:sz w:val="22"/>
          <w:szCs w:val="22"/>
        </w:rPr>
        <w:t>CR</w:t>
      </w:r>
      <w:r w:rsidRPr="00BE1CE4">
        <w:rPr>
          <w:rFonts w:asciiTheme="minorHAnsi" w:hAnsiTheme="minorHAnsi" w:cstheme="minorHAnsi"/>
          <w:spacing w:val="-3"/>
          <w:sz w:val="22"/>
          <w:szCs w:val="22"/>
        </w:rPr>
        <w:t>,</w:t>
      </w:r>
      <w:proofErr w:type="gramEnd"/>
      <w:r w:rsidRPr="00BE1CE4">
        <w:rPr>
          <w:rFonts w:asciiTheme="minorHAnsi" w:hAnsiTheme="minorHAnsi" w:cstheme="minorHAnsi"/>
          <w:spacing w:val="-3"/>
          <w:sz w:val="22"/>
          <w:szCs w:val="22"/>
        </w:rPr>
        <w:t xml:space="preserve"> Nursing Facility Cost </w:t>
      </w:r>
      <w:proofErr w:type="gramStart"/>
      <w:r w:rsidRPr="00BE1CE4">
        <w:rPr>
          <w:rFonts w:asciiTheme="minorHAnsi" w:hAnsiTheme="minorHAnsi" w:cstheme="minorHAnsi"/>
          <w:spacing w:val="-3"/>
          <w:sz w:val="22"/>
          <w:szCs w:val="22"/>
        </w:rPr>
        <w:t>Report, but</w:t>
      </w:r>
      <w:proofErr w:type="gramEnd"/>
      <w:r w:rsidRPr="00BE1CE4">
        <w:rPr>
          <w:rFonts w:asciiTheme="minorHAnsi" w:hAnsiTheme="minorHAnsi" w:cstheme="minorHAnsi"/>
          <w:spacing w:val="-3"/>
          <w:sz w:val="22"/>
          <w:szCs w:val="22"/>
        </w:rPr>
        <w:t xml:space="preserve"> should still be used if allocating costs to an HCF-4.  </w:t>
      </w:r>
    </w:p>
    <w:p w14:paraId="5D0A825E"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p>
    <w:p w14:paraId="77382EC8"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Cost category designations are identified beside each cost report account number to help identify the correct cost category of each expense.  Please refer to the grid on the next page for cost category classifications.  Great care should be taken when reporting the subtotals by cost category classifications.</w:t>
      </w:r>
    </w:p>
    <w:p w14:paraId="4167984E" w14:textId="77777777" w:rsidR="005559D0" w:rsidRPr="00BE1CE4" w:rsidRDefault="005559D0" w:rsidP="005559D0">
      <w:pPr>
        <w:tabs>
          <w:tab w:val="left" w:pos="-720"/>
          <w:tab w:val="left" w:pos="0"/>
          <w:tab w:val="left" w:pos="270"/>
          <w:tab w:val="left" w:pos="360"/>
        </w:tabs>
        <w:suppressAutoHyphens/>
        <w:ind w:left="288" w:hanging="288"/>
        <w:jc w:val="both"/>
        <w:rPr>
          <w:rFonts w:asciiTheme="minorHAnsi" w:hAnsiTheme="minorHAnsi" w:cstheme="minorHAnsi"/>
          <w:spacing w:val="-2"/>
          <w:sz w:val="22"/>
          <w:szCs w:val="22"/>
        </w:rPr>
        <w:sectPr w:rsidR="005559D0" w:rsidRPr="00BE1CE4" w:rsidSect="00520329">
          <w:endnotePr>
            <w:numFmt w:val="decimal"/>
          </w:endnotePr>
          <w:pgSz w:w="12240" w:h="15840" w:code="1"/>
          <w:pgMar w:top="864" w:right="1440" w:bottom="576" w:left="1440" w:header="432" w:footer="360" w:gutter="0"/>
          <w:cols w:space="720"/>
          <w:noEndnote/>
        </w:sectPr>
      </w:pPr>
    </w:p>
    <w:p w14:paraId="55B48242" w14:textId="77777777" w:rsidR="005559D0" w:rsidRPr="00BE1CE4" w:rsidRDefault="005559D0" w:rsidP="005559D0">
      <w:pPr>
        <w:tabs>
          <w:tab w:val="left" w:pos="-720"/>
          <w:tab w:val="left" w:pos="0"/>
          <w:tab w:val="left" w:pos="288"/>
          <w:tab w:val="left" w:pos="360"/>
        </w:tabs>
        <w:suppressAutoHyphens/>
        <w:ind w:left="288" w:hanging="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65"/>
        <w:gridCol w:w="1575"/>
        <w:gridCol w:w="5040"/>
      </w:tblGrid>
      <w:tr w:rsidR="005559D0" w:rsidRPr="00F51D89" w14:paraId="6B2A857B" w14:textId="77777777" w:rsidTr="00DA0B24">
        <w:trPr>
          <w:tblHeader/>
        </w:trPr>
        <w:tc>
          <w:tcPr>
            <w:tcW w:w="1620" w:type="dxa"/>
            <w:shd w:val="clear" w:color="auto" w:fill="auto"/>
            <w:vAlign w:val="bottom"/>
          </w:tcPr>
          <w:p w14:paraId="08F60CA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Classification Code</w:t>
            </w:r>
          </w:p>
        </w:tc>
        <w:tc>
          <w:tcPr>
            <w:tcW w:w="1665" w:type="dxa"/>
            <w:shd w:val="clear" w:color="auto" w:fill="auto"/>
            <w:vAlign w:val="bottom"/>
          </w:tcPr>
          <w:p w14:paraId="624FFAA5"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Expense Description</w:t>
            </w:r>
          </w:p>
        </w:tc>
        <w:tc>
          <w:tcPr>
            <w:tcW w:w="1575" w:type="dxa"/>
            <w:shd w:val="clear" w:color="auto" w:fill="auto"/>
            <w:vAlign w:val="bottom"/>
          </w:tcPr>
          <w:p w14:paraId="314F6A94"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 xml:space="preserve">Subtotal Accounts </w:t>
            </w:r>
          </w:p>
          <w:p w14:paraId="4EB8730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b/>
                <w:spacing w:val="-3"/>
                <w:sz w:val="18"/>
                <w:szCs w:val="18"/>
              </w:rPr>
            </w:pPr>
            <w:r w:rsidRPr="00F51D89">
              <w:rPr>
                <w:rFonts w:asciiTheme="minorHAnsi" w:hAnsiTheme="minorHAnsi" w:cstheme="minorHAnsi"/>
                <w:b/>
                <w:spacing w:val="-3"/>
                <w:sz w:val="18"/>
                <w:szCs w:val="18"/>
              </w:rPr>
              <w:t>(Page 14)</w:t>
            </w:r>
          </w:p>
        </w:tc>
        <w:tc>
          <w:tcPr>
            <w:tcW w:w="5040" w:type="dxa"/>
            <w:shd w:val="clear" w:color="auto" w:fill="auto"/>
            <w:vAlign w:val="bottom"/>
          </w:tcPr>
          <w:p w14:paraId="152297E9" w14:textId="77777777" w:rsidR="005559D0" w:rsidRPr="00F51D89" w:rsidRDefault="005559D0" w:rsidP="00DA0B24">
            <w:pPr>
              <w:tabs>
                <w:tab w:val="left" w:pos="-720"/>
                <w:tab w:val="left" w:pos="0"/>
                <w:tab w:val="left" w:pos="360"/>
              </w:tabs>
              <w:suppressAutoHyphens/>
              <w:ind w:left="288"/>
              <w:jc w:val="center"/>
              <w:rPr>
                <w:rFonts w:asciiTheme="minorHAnsi" w:hAnsiTheme="minorHAnsi" w:cstheme="minorHAnsi"/>
                <w:spacing w:val="-3"/>
                <w:sz w:val="18"/>
                <w:szCs w:val="18"/>
              </w:rPr>
            </w:pPr>
            <w:r w:rsidRPr="00F51D89">
              <w:rPr>
                <w:rFonts w:asciiTheme="minorHAnsi" w:hAnsiTheme="minorHAnsi" w:cstheme="minorHAnsi"/>
                <w:b/>
                <w:spacing w:val="-3"/>
                <w:sz w:val="18"/>
                <w:szCs w:val="18"/>
              </w:rPr>
              <w:t>Accounts</w:t>
            </w:r>
          </w:p>
        </w:tc>
      </w:tr>
      <w:tr w:rsidR="005559D0" w:rsidRPr="00F51D89" w14:paraId="6FCD652A" w14:textId="77777777" w:rsidTr="00DA0B24">
        <w:tc>
          <w:tcPr>
            <w:tcW w:w="1620" w:type="dxa"/>
            <w:shd w:val="clear" w:color="auto" w:fill="auto"/>
          </w:tcPr>
          <w:p w14:paraId="594FB69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 &amp; G</w:t>
            </w:r>
          </w:p>
        </w:tc>
        <w:tc>
          <w:tcPr>
            <w:tcW w:w="1665" w:type="dxa"/>
            <w:shd w:val="clear" w:color="auto" w:fill="auto"/>
          </w:tcPr>
          <w:p w14:paraId="621CC93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Administrative and General</w:t>
            </w:r>
          </w:p>
        </w:tc>
        <w:tc>
          <w:tcPr>
            <w:tcW w:w="1575" w:type="dxa"/>
            <w:shd w:val="clear" w:color="auto" w:fill="auto"/>
          </w:tcPr>
          <w:p w14:paraId="0561628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9300.5</w:t>
            </w:r>
          </w:p>
          <w:p w14:paraId="040DE3C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9301.5</w:t>
            </w:r>
          </w:p>
          <w:p w14:paraId="23E84A7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9302.5</w:t>
            </w:r>
          </w:p>
        </w:tc>
        <w:tc>
          <w:tcPr>
            <w:tcW w:w="5040" w:type="dxa"/>
            <w:shd w:val="clear" w:color="auto" w:fill="auto"/>
          </w:tcPr>
          <w:p w14:paraId="217DBD2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Administration Salaries (9312.1), Administrator-in- Training (9313.1), Administrator (9314.1), Clerical Services (9321.1), Payroll Services/EDP (9322.3), Other Administrative Costs (9323.7), Office Supplies (9325.0), Phones (9331.5), Conventions &amp; Meetings (9338.6), Other Travel (9339.6), Advertising-Help Wanted (9341.5), License and Dues (9345.0), Group Life/Health Ins &amp; Pensions- Admin (9351.6), Group Life/Health Ins &amp; Pension – Other A&amp;G Employees (9351.4), Other Accounting Services (9362.7), Payroll Taxes – Admin (9371.2), Payroll Taxes- Other A&amp;G Employees (9371.4), General Insurance (9377.3), Worker’s Compensation-Admin (9376.2), Worker’s Compensation – Other A&amp;G Employees (9373.4), Miscellaneous Expense (9379.0), Maintenance (9390.0), and Other Property Costs (9391.0)</w:t>
            </w:r>
          </w:p>
        </w:tc>
      </w:tr>
      <w:tr w:rsidR="005559D0" w:rsidRPr="00F51D89" w14:paraId="4B780484" w14:textId="77777777" w:rsidTr="00DA0B24">
        <w:tc>
          <w:tcPr>
            <w:tcW w:w="1620" w:type="dxa"/>
            <w:shd w:val="clear" w:color="auto" w:fill="auto"/>
          </w:tcPr>
          <w:p w14:paraId="35AEF5B8"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w:t>
            </w:r>
          </w:p>
        </w:tc>
        <w:tc>
          <w:tcPr>
            <w:tcW w:w="1665" w:type="dxa"/>
            <w:shd w:val="clear" w:color="auto" w:fill="auto"/>
          </w:tcPr>
          <w:p w14:paraId="1415584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Variable</w:t>
            </w:r>
          </w:p>
        </w:tc>
        <w:tc>
          <w:tcPr>
            <w:tcW w:w="1575" w:type="dxa"/>
            <w:shd w:val="clear" w:color="auto" w:fill="auto"/>
          </w:tcPr>
          <w:p w14:paraId="11E7893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9300.6</w:t>
            </w:r>
          </w:p>
          <w:p w14:paraId="7A88918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9301.6</w:t>
            </w:r>
          </w:p>
          <w:p w14:paraId="64447E06"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9302.6</w:t>
            </w:r>
          </w:p>
        </w:tc>
        <w:tc>
          <w:tcPr>
            <w:tcW w:w="5040" w:type="dxa"/>
            <w:shd w:val="clear" w:color="auto" w:fill="auto"/>
          </w:tcPr>
          <w:p w14:paraId="32A3A830"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Q/A Professional (9323.1), Indirect Restorative Therapy (9323.5), Dietician (9323.4), Group Life/Health Ins &amp; Pension – Variable Employees (9351.5), Payroll Taxes- Variable Employees (9371.5), Worker’s Compensation – Variable Employees (9373.5)</w:t>
            </w:r>
          </w:p>
        </w:tc>
      </w:tr>
      <w:tr w:rsidR="005559D0" w:rsidRPr="00F51D89" w14:paraId="4204F5FB" w14:textId="77777777" w:rsidTr="00DA0B24">
        <w:tc>
          <w:tcPr>
            <w:tcW w:w="1620" w:type="dxa"/>
            <w:shd w:val="clear" w:color="auto" w:fill="auto"/>
          </w:tcPr>
          <w:p w14:paraId="565215F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w:t>
            </w:r>
          </w:p>
        </w:tc>
        <w:tc>
          <w:tcPr>
            <w:tcW w:w="1665" w:type="dxa"/>
            <w:shd w:val="clear" w:color="auto" w:fill="auto"/>
          </w:tcPr>
          <w:p w14:paraId="26209E2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Fixed</w:t>
            </w:r>
          </w:p>
        </w:tc>
        <w:tc>
          <w:tcPr>
            <w:tcW w:w="1575" w:type="dxa"/>
            <w:shd w:val="clear" w:color="auto" w:fill="auto"/>
          </w:tcPr>
          <w:p w14:paraId="4C605C0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9300.1</w:t>
            </w:r>
          </w:p>
          <w:p w14:paraId="27B7E0F9"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9301.1</w:t>
            </w:r>
          </w:p>
          <w:p w14:paraId="543E752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9302.1</w:t>
            </w:r>
          </w:p>
          <w:p w14:paraId="7B21BBB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9302.9</w:t>
            </w:r>
          </w:p>
        </w:tc>
        <w:tc>
          <w:tcPr>
            <w:tcW w:w="5040" w:type="dxa"/>
            <w:shd w:val="clear" w:color="auto" w:fill="auto"/>
          </w:tcPr>
          <w:p w14:paraId="582C9961"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Real Estate Taxes (9380.0), Personal Property Taxes (9380.1), Insurance-Building, Improvements, Equipment (9380.5), Long Term Interest (9381.0), Other Fixed (9382.0), Depreciation- Building (9386.8), Depreciation- Improvements (9387.8), Depreciation–HCF Capitalization Improvements (9387.9), Depreciation-Equipment (9388.8), Depreciation-HCF Capitalized Equipment (9388.9), Depreciation-Software/Ltd. Life Assets (9390.8), and Depreciation-HCF Capitalization Software/Ltd. Life Assets (9390.9)</w:t>
            </w:r>
          </w:p>
        </w:tc>
      </w:tr>
      <w:tr w:rsidR="005559D0" w:rsidRPr="00F51D89" w14:paraId="03FE7DE1" w14:textId="77777777" w:rsidTr="00DA0B24">
        <w:tc>
          <w:tcPr>
            <w:tcW w:w="1620" w:type="dxa"/>
            <w:shd w:val="clear" w:color="auto" w:fill="auto"/>
          </w:tcPr>
          <w:p w14:paraId="535D6C8F"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665" w:type="dxa"/>
            <w:shd w:val="clear" w:color="auto" w:fill="auto"/>
          </w:tcPr>
          <w:p w14:paraId="421A83A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1575" w:type="dxa"/>
            <w:shd w:val="clear" w:color="auto" w:fill="auto"/>
          </w:tcPr>
          <w:p w14:paraId="0E38EE51"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 xml:space="preserve"> </w:t>
            </w:r>
          </w:p>
        </w:tc>
        <w:tc>
          <w:tcPr>
            <w:tcW w:w="5040" w:type="dxa"/>
            <w:shd w:val="clear" w:color="auto" w:fill="auto"/>
          </w:tcPr>
          <w:p w14:paraId="391B54B2"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This space is intentionally left blank.</w:t>
            </w:r>
          </w:p>
          <w:p w14:paraId="688CFE23"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p>
        </w:tc>
      </w:tr>
      <w:tr w:rsidR="005559D0" w:rsidRPr="00F51D89" w14:paraId="41941AE9" w14:textId="77777777" w:rsidTr="00DA0B24">
        <w:tc>
          <w:tcPr>
            <w:tcW w:w="1620" w:type="dxa"/>
            <w:shd w:val="clear" w:color="auto" w:fill="auto"/>
          </w:tcPr>
          <w:p w14:paraId="552FC933"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w:t>
            </w:r>
          </w:p>
        </w:tc>
        <w:tc>
          <w:tcPr>
            <w:tcW w:w="1665" w:type="dxa"/>
            <w:shd w:val="clear" w:color="auto" w:fill="auto"/>
          </w:tcPr>
          <w:p w14:paraId="254686AA"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Non-Allowable</w:t>
            </w:r>
          </w:p>
        </w:tc>
        <w:tc>
          <w:tcPr>
            <w:tcW w:w="1575" w:type="dxa"/>
            <w:shd w:val="clear" w:color="auto" w:fill="auto"/>
          </w:tcPr>
          <w:p w14:paraId="1DA8F922"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9300.4</w:t>
            </w:r>
          </w:p>
          <w:p w14:paraId="766A4ADD"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9301.4</w:t>
            </w:r>
          </w:p>
          <w:p w14:paraId="66C7055B" w14:textId="77777777" w:rsidR="005559D0" w:rsidRPr="00F51D89" w:rsidRDefault="005559D0" w:rsidP="00DA0B24">
            <w:pPr>
              <w:tabs>
                <w:tab w:val="left" w:pos="-720"/>
                <w:tab w:val="left" w:pos="0"/>
                <w:tab w:val="left" w:pos="360"/>
              </w:tabs>
              <w:suppressAutoHyphens/>
              <w:jc w:val="center"/>
              <w:rPr>
                <w:rFonts w:asciiTheme="minorHAnsi" w:hAnsiTheme="minorHAnsi" w:cstheme="minorHAnsi"/>
                <w:spacing w:val="-3"/>
                <w:sz w:val="18"/>
                <w:szCs w:val="18"/>
              </w:rPr>
            </w:pPr>
            <w:r w:rsidRPr="00F51D89">
              <w:rPr>
                <w:rFonts w:asciiTheme="minorHAnsi" w:hAnsiTheme="minorHAnsi" w:cstheme="minorHAnsi"/>
                <w:spacing w:val="-3"/>
                <w:sz w:val="18"/>
                <w:szCs w:val="18"/>
              </w:rPr>
              <w:t>9302.4</w:t>
            </w:r>
          </w:p>
        </w:tc>
        <w:tc>
          <w:tcPr>
            <w:tcW w:w="5040" w:type="dxa"/>
            <w:shd w:val="clear" w:color="auto" w:fill="auto"/>
          </w:tcPr>
          <w:p w14:paraId="7C2564AC" w14:textId="77777777" w:rsidR="005559D0" w:rsidRPr="00F51D89" w:rsidRDefault="005559D0" w:rsidP="00DA0B24">
            <w:pPr>
              <w:tabs>
                <w:tab w:val="left" w:pos="-720"/>
                <w:tab w:val="left" w:pos="0"/>
                <w:tab w:val="left" w:pos="360"/>
              </w:tabs>
              <w:suppressAutoHyphens/>
              <w:jc w:val="both"/>
              <w:rPr>
                <w:rFonts w:asciiTheme="minorHAnsi" w:hAnsiTheme="minorHAnsi" w:cstheme="minorHAnsi"/>
                <w:spacing w:val="-3"/>
                <w:sz w:val="18"/>
                <w:szCs w:val="18"/>
              </w:rPr>
            </w:pPr>
            <w:r w:rsidRPr="00F51D89">
              <w:rPr>
                <w:rFonts w:asciiTheme="minorHAnsi" w:hAnsiTheme="minorHAnsi" w:cstheme="minorHAnsi"/>
                <w:spacing w:val="-3"/>
                <w:sz w:val="18"/>
                <w:szCs w:val="18"/>
              </w:rPr>
              <w:t>Officer/Owner Compensation (9316.1), Director’s Fees (9317.3), Other Management Fees (9321.0), Direct Restorative Therapy (9323.6), Telephone Directory Advertising (9332.6), Motor Vehicle Expense (9336.5), Other Advertising (9342.6), Group Life/ Health, &amp; Life Ins. &amp; Pension-Officers/Owner/Dir. (9351.7), Accounting Appeal Services (9361.3), Legal Services (9366.3), Other Legal (9367.7), Payroll Taxes-Officer/Owner/Director (9371.3), Workers’ Comp.-Officer/Owner/Director (9373.1), Interest on Late Payments, Penalties (9381.5), Interest on Working Capital (9381.7)</w:t>
            </w:r>
          </w:p>
        </w:tc>
      </w:tr>
    </w:tbl>
    <w:p w14:paraId="69D9435E" w14:textId="77777777" w:rsidR="005559D0" w:rsidRPr="00BE1CE4" w:rsidRDefault="005559D0" w:rsidP="005559D0">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jc w:val="both"/>
        <w:rPr>
          <w:rFonts w:asciiTheme="minorHAnsi" w:hAnsiTheme="minorHAnsi" w:cstheme="minorHAnsi"/>
          <w:spacing w:val="-3"/>
          <w:sz w:val="22"/>
          <w:szCs w:val="22"/>
        </w:rPr>
      </w:pPr>
    </w:p>
    <w:p w14:paraId="09760EE7" w14:textId="4E4FA3C2" w:rsidR="005559D0" w:rsidRDefault="005559D0" w:rsidP="005559D0">
      <w:pPr>
        <w:tabs>
          <w:tab w:val="center" w:pos="5537"/>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There have been many delays in balancing the HCF-3 Report due to mathematical and rounding errors in the submitted reports.  The sum of the reported values in the detail accounts often don’t reconcile to subtotal accounts and/or the control accounts by total and cost category and in many cases don’t reconcile to the totals reported on related schedules.</w:t>
      </w:r>
    </w:p>
    <w:p w14:paraId="604A1AEC" w14:textId="77777777" w:rsidR="00F86057" w:rsidRPr="00BE1CE4" w:rsidRDefault="00F86057" w:rsidP="005559D0">
      <w:pPr>
        <w:tabs>
          <w:tab w:val="center" w:pos="5537"/>
        </w:tabs>
        <w:suppressAutoHyphens/>
        <w:jc w:val="both"/>
        <w:rPr>
          <w:rFonts w:asciiTheme="minorHAnsi" w:hAnsiTheme="minorHAnsi" w:cstheme="minorHAnsi"/>
          <w:spacing w:val="-3"/>
          <w:sz w:val="22"/>
          <w:szCs w:val="22"/>
        </w:rPr>
      </w:pPr>
    </w:p>
    <w:p w14:paraId="11266167" w14:textId="77777777" w:rsidR="005559D0" w:rsidRPr="00BE1CE4" w:rsidRDefault="005559D0" w:rsidP="005559D0">
      <w:pPr>
        <w:tabs>
          <w:tab w:val="center" w:pos="5537"/>
        </w:tabs>
        <w:suppressAutoHyphens/>
        <w:ind w:left="27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Income</w:t>
      </w:r>
    </w:p>
    <w:p w14:paraId="087369B7"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3630.0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Nursing Facilities:</w:t>
      </w:r>
    </w:p>
    <w:p w14:paraId="4EAB34EC" w14:textId="77777777" w:rsidR="005559D0" w:rsidRPr="00BE1CE4" w:rsidRDefault="005559D0" w:rsidP="005559D0">
      <w:pPr>
        <w:tabs>
          <w:tab w:val="left" w:pos="-720"/>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Any non-recoverable income generated from nursing facilities.</w:t>
      </w:r>
    </w:p>
    <w:p w14:paraId="191A185B"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3650.0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Income:</w:t>
      </w:r>
    </w:p>
    <w:p w14:paraId="19250DA3"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Any other non-recoverable income.  </w:t>
      </w:r>
    </w:p>
    <w:p w14:paraId="0698C9D9" w14:textId="482FF04C" w:rsidR="005559D0" w:rsidRPr="002D7BC1" w:rsidRDefault="005559D0" w:rsidP="002D7BC1">
      <w:pPr>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3650.2</w:t>
      </w:r>
      <w:r w:rsidR="00F86057">
        <w:rPr>
          <w:rFonts w:asciiTheme="minorHAnsi" w:hAnsiTheme="minorHAnsi" w:cstheme="minorHAnsi"/>
          <w:b/>
          <w:spacing w:val="-3"/>
          <w:sz w:val="22"/>
          <w:szCs w:val="22"/>
        </w:rPr>
        <w:t>- 3650.</w:t>
      </w:r>
      <w:r w:rsidR="00677B4B">
        <w:rPr>
          <w:rFonts w:asciiTheme="minorHAnsi" w:hAnsiTheme="minorHAnsi" w:cstheme="minorHAnsi"/>
          <w:b/>
          <w:spacing w:val="-3"/>
          <w:sz w:val="22"/>
          <w:szCs w:val="22"/>
        </w:rPr>
        <w:t>5</w:t>
      </w:r>
      <w:r w:rsidR="009213F8">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 xml:space="preserve">Accounts for Variable (3650.5) </w:t>
      </w:r>
      <w:proofErr w:type="gramStart"/>
      <w:r w:rsidRPr="00BE1CE4">
        <w:rPr>
          <w:rFonts w:asciiTheme="minorHAnsi" w:hAnsiTheme="minorHAnsi" w:cstheme="minorHAnsi"/>
          <w:spacing w:val="-3"/>
          <w:sz w:val="22"/>
          <w:szCs w:val="22"/>
        </w:rPr>
        <w:t>and A &amp; G (3650.4)</w:t>
      </w:r>
      <w:proofErr w:type="gramEnd"/>
      <w:r w:rsidRPr="00BE1CE4">
        <w:rPr>
          <w:rFonts w:asciiTheme="minorHAnsi" w:hAnsiTheme="minorHAnsi" w:cstheme="minorHAnsi"/>
          <w:spacing w:val="-3"/>
          <w:sz w:val="22"/>
          <w:szCs w:val="22"/>
        </w:rPr>
        <w:t xml:space="preserve"> recoverable income have been added</w:t>
      </w:r>
      <w:r w:rsidR="00541146">
        <w:rPr>
          <w:rFonts w:asciiTheme="minorHAnsi" w:hAnsiTheme="minorHAnsi" w:cstheme="minorHAnsi"/>
          <w:spacing w:val="-3"/>
          <w:sz w:val="22"/>
          <w:szCs w:val="22"/>
        </w:rPr>
        <w:t>.</w:t>
      </w:r>
      <w:r w:rsidR="002D7BC1">
        <w:rPr>
          <w:rFonts w:asciiTheme="minorHAnsi" w:hAnsiTheme="minorHAnsi" w:cstheme="minorHAnsi"/>
          <w:b/>
          <w:spacing w:val="-3"/>
          <w:sz w:val="22"/>
          <w:szCs w:val="22"/>
        </w:rPr>
        <w:t xml:space="preserve"> </w:t>
      </w:r>
      <w:r w:rsidRPr="00BE1CE4">
        <w:rPr>
          <w:rFonts w:asciiTheme="minorHAnsi" w:hAnsiTheme="minorHAnsi" w:cstheme="minorHAnsi"/>
          <w:spacing w:val="-3"/>
          <w:sz w:val="22"/>
          <w:szCs w:val="22"/>
        </w:rPr>
        <w:t>Director of</w:t>
      </w:r>
      <w:r w:rsidRPr="00BE1CE4" w:rsidDel="00EC0A2D">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Nurses (account 3650.2), and Fixed Cost Recoverable Income (3650.3) have not changed.  These accounts are reported as </w:t>
      </w:r>
      <w:r w:rsidR="006D3BC6" w:rsidRPr="00BE1CE4">
        <w:rPr>
          <w:rFonts w:asciiTheme="minorHAnsi" w:hAnsiTheme="minorHAnsi" w:cstheme="minorHAnsi"/>
          <w:spacing w:val="-3"/>
          <w:sz w:val="22"/>
          <w:szCs w:val="22"/>
        </w:rPr>
        <w:t>self-disallowances</w:t>
      </w:r>
      <w:r w:rsidRPr="00BE1CE4">
        <w:rPr>
          <w:rFonts w:asciiTheme="minorHAnsi" w:hAnsiTheme="minorHAnsi" w:cstheme="minorHAnsi"/>
          <w:spacing w:val="-3"/>
          <w:sz w:val="22"/>
          <w:szCs w:val="22"/>
        </w:rPr>
        <w:t xml:space="preserve"> on Schedule 14.</w:t>
      </w:r>
    </w:p>
    <w:p w14:paraId="2E84331E" w14:textId="77777777" w:rsidR="005559D0" w:rsidRPr="00BE1CE4" w:rsidRDefault="005559D0" w:rsidP="005559D0">
      <w:pPr>
        <w:tabs>
          <w:tab w:val="left" w:pos="-720"/>
          <w:tab w:val="left" w:pos="288"/>
          <w:tab w:val="left" w:pos="994"/>
        </w:tabs>
        <w:suppressAutoHyphens/>
        <w:ind w:left="576" w:hanging="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3600.0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Income:</w:t>
      </w:r>
    </w:p>
    <w:p w14:paraId="20A9E2F6" w14:textId="1070D361"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All gross income for the reporting period</w:t>
      </w:r>
      <w:r w:rsidR="00541146">
        <w:rPr>
          <w:rFonts w:asciiTheme="minorHAnsi" w:hAnsiTheme="minorHAnsi" w:cstheme="minorHAnsi"/>
          <w:spacing w:val="-3"/>
          <w:sz w:val="22"/>
          <w:szCs w:val="22"/>
        </w:rPr>
        <w:t>,</w:t>
      </w:r>
      <w:r w:rsidRPr="00BE1CE4">
        <w:rPr>
          <w:rFonts w:asciiTheme="minorHAnsi" w:hAnsiTheme="minorHAnsi" w:cstheme="minorHAnsi"/>
          <w:spacing w:val="-3"/>
          <w:sz w:val="22"/>
          <w:szCs w:val="22"/>
        </w:rPr>
        <w:t xml:space="preserve"> which must equal the sum of accounts 3630.0</w:t>
      </w:r>
      <w:proofErr w:type="gramStart"/>
      <w:r w:rsidRPr="00BE1CE4">
        <w:rPr>
          <w:rFonts w:asciiTheme="minorHAnsi" w:hAnsiTheme="minorHAnsi" w:cstheme="minorHAnsi"/>
          <w:spacing w:val="-3"/>
          <w:sz w:val="22"/>
          <w:szCs w:val="22"/>
        </w:rPr>
        <w:t>,  3650.0</w:t>
      </w:r>
      <w:proofErr w:type="gramEnd"/>
      <w:r w:rsidRPr="00BE1CE4">
        <w:rPr>
          <w:rFonts w:asciiTheme="minorHAnsi" w:hAnsiTheme="minorHAnsi" w:cstheme="minorHAnsi"/>
          <w:spacing w:val="-3"/>
          <w:sz w:val="22"/>
          <w:szCs w:val="22"/>
        </w:rPr>
        <w:t>, 3650.4, 3650.5, 3650.2 and 3650.3.</w:t>
      </w:r>
    </w:p>
    <w:p w14:paraId="3074C1C6"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A3A8A92"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Expenses</w:t>
      </w:r>
    </w:p>
    <w:p w14:paraId="02E2BB04"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9313.1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Administrator-in-Training</w:t>
      </w:r>
    </w:p>
    <w:p w14:paraId="4F2D2FDD"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Administrators-in-Training who are employed at the management company/central office but work at the facility.  The salaries of these employees should be allocated using Schedule 10, Part 4(a).</w:t>
      </w:r>
    </w:p>
    <w:p w14:paraId="13921FF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9314.1</w:t>
      </w:r>
      <w:r w:rsidRPr="00BE1CE4">
        <w:rPr>
          <w:rFonts w:asciiTheme="minorHAnsi" w:hAnsiTheme="minorHAnsi" w:cstheme="minorHAnsi"/>
          <w:b/>
          <w:spacing w:val="-3"/>
          <w:sz w:val="22"/>
          <w:szCs w:val="22"/>
        </w:rPr>
        <w:tab/>
      </w:r>
      <w:r w:rsidRPr="00BE1CE4">
        <w:rPr>
          <w:rFonts w:asciiTheme="minorHAnsi" w:hAnsiTheme="minorHAnsi" w:cstheme="minorHAnsi"/>
          <w:spacing w:val="-3"/>
          <w:sz w:val="22"/>
          <w:szCs w:val="22"/>
          <w:u w:val="single"/>
        </w:rPr>
        <w:t>Administrator</w:t>
      </w:r>
    </w:p>
    <w:p w14:paraId="67E0CF58" w14:textId="77777777" w:rsidR="005559D0" w:rsidRPr="00BE1CE4" w:rsidRDefault="005559D0" w:rsidP="005559D0">
      <w:pPr>
        <w:tabs>
          <w:tab w:val="left" w:pos="-720"/>
          <w:tab w:val="left" w:pos="288"/>
          <w:tab w:val="left" w:pos="994"/>
        </w:tabs>
        <w:suppressAutoHyphens/>
        <w:ind w:left="1008"/>
        <w:jc w:val="both"/>
        <w:rPr>
          <w:rFonts w:asciiTheme="minorHAnsi" w:hAnsiTheme="minorHAnsi" w:cstheme="minorHAnsi"/>
          <w:b/>
          <w:spacing w:val="-3"/>
          <w:sz w:val="22"/>
          <w:szCs w:val="22"/>
        </w:rPr>
      </w:pPr>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Administrators who are employed at the management company/central office but work at the facility.  The salaries of these employees should be allocated using Schedule 10, Part 4(b).</w:t>
      </w:r>
    </w:p>
    <w:p w14:paraId="367F5EE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Indirect Restorative Therapy</w:t>
      </w:r>
    </w:p>
    <w:p w14:paraId="4F688807" w14:textId="1B3AEC76" w:rsidR="005559D0" w:rsidRPr="00BE1CE4" w:rsidRDefault="005559D0" w:rsidP="005559D0">
      <w:pPr>
        <w:ind w:left="990"/>
        <w:outlineLvl w:val="0"/>
        <w:rPr>
          <w:rFonts w:asciiTheme="minorHAnsi" w:hAnsiTheme="minorHAnsi" w:cstheme="minorHAnsi"/>
          <w:sz w:val="22"/>
          <w:szCs w:val="22"/>
        </w:rPr>
      </w:pPr>
      <w:bookmarkStart w:id="0" w:name="_Toc98773640"/>
      <w:r w:rsidRPr="00BE1CE4">
        <w:rPr>
          <w:rFonts w:asciiTheme="minorHAnsi" w:hAnsiTheme="minorHAnsi" w:cstheme="minorHAnsi"/>
          <w:sz w:val="22"/>
          <w:szCs w:val="22"/>
        </w:rPr>
        <w:t xml:space="preserve">This account should be used to </w:t>
      </w:r>
      <w:proofErr w:type="gramStart"/>
      <w:r w:rsidRPr="00BE1CE4">
        <w:rPr>
          <w:rFonts w:asciiTheme="minorHAnsi" w:hAnsiTheme="minorHAnsi" w:cstheme="minorHAnsi"/>
          <w:sz w:val="22"/>
          <w:szCs w:val="22"/>
        </w:rPr>
        <w:t>report</w:t>
      </w:r>
      <w:proofErr w:type="gramEnd"/>
      <w:r w:rsidRPr="00BE1CE4">
        <w:rPr>
          <w:rFonts w:asciiTheme="minorHAnsi" w:hAnsiTheme="minorHAnsi" w:cstheme="minorHAnsi"/>
          <w:sz w:val="22"/>
          <w:szCs w:val="22"/>
        </w:rPr>
        <w:t xml:space="preserve">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indirect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regulations 101 CMR 204.00, directly at the facility.  This account should not contain </w:t>
      </w:r>
      <w:proofErr w:type="gramStart"/>
      <w:r w:rsidRPr="00BE1CE4">
        <w:rPr>
          <w:rFonts w:asciiTheme="minorHAnsi" w:hAnsiTheme="minorHAnsi" w:cstheme="minorHAnsi"/>
          <w:spacing w:val="-2"/>
          <w:sz w:val="22"/>
          <w:szCs w:val="22"/>
        </w:rPr>
        <w:t>expenses</w:t>
      </w:r>
      <w:proofErr w:type="gramEnd"/>
      <w:r w:rsidRPr="00BE1CE4">
        <w:rPr>
          <w:rFonts w:asciiTheme="minorHAnsi" w:hAnsiTheme="minorHAnsi" w:cstheme="minorHAnsi"/>
          <w:spacing w:val="-2"/>
          <w:sz w:val="22"/>
          <w:szCs w:val="22"/>
        </w:rPr>
        <w:t xml:space="preserve"> of a manager or a person to whom the therapists report.  (Those salaries should be reported as Other Administrative.)  This account should not include the costs of any direct services.</w:t>
      </w:r>
      <w:bookmarkEnd w:id="0"/>
      <w:r w:rsidRPr="00BE1CE4">
        <w:rPr>
          <w:rFonts w:asciiTheme="minorHAnsi" w:hAnsiTheme="minorHAnsi" w:cstheme="minorHAnsi"/>
          <w:spacing w:val="-2"/>
          <w:sz w:val="22"/>
          <w:szCs w:val="22"/>
        </w:rPr>
        <w:t xml:space="preserve">  </w:t>
      </w:r>
    </w:p>
    <w:p w14:paraId="783752A6"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9323.6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Direct Restorative Therapy Salaries</w:t>
      </w:r>
    </w:p>
    <w:p w14:paraId="7D6AAFE6" w14:textId="7933F46F" w:rsidR="005559D0" w:rsidRPr="00BE1CE4" w:rsidRDefault="005559D0" w:rsidP="005559D0">
      <w:pPr>
        <w:ind w:left="990"/>
        <w:outlineLvl w:val="0"/>
        <w:rPr>
          <w:rFonts w:asciiTheme="minorHAnsi" w:hAnsiTheme="minorHAnsi" w:cstheme="minorHAnsi"/>
          <w:sz w:val="22"/>
          <w:szCs w:val="22"/>
        </w:rPr>
      </w:pPr>
      <w:bookmarkStart w:id="1" w:name="_Toc98773641"/>
      <w:r w:rsidRPr="00BE1CE4">
        <w:rPr>
          <w:rFonts w:asciiTheme="minorHAnsi" w:hAnsiTheme="minorHAnsi" w:cstheme="minorHAnsi"/>
          <w:sz w:val="22"/>
          <w:szCs w:val="22"/>
        </w:rPr>
        <w:t xml:space="preserve">This account should be used to report the salaries of </w:t>
      </w:r>
      <w:r w:rsidRPr="00BE1CE4">
        <w:rPr>
          <w:rFonts w:asciiTheme="minorHAnsi" w:hAnsiTheme="minorHAnsi" w:cstheme="minorHAnsi"/>
          <w:spacing w:val="-2"/>
          <w:sz w:val="22"/>
          <w:szCs w:val="22"/>
        </w:rPr>
        <w:t xml:space="preserve">Physical, Occupational and Speech Therapists who perform </w:t>
      </w:r>
      <w:r w:rsidRPr="00BE1CE4">
        <w:rPr>
          <w:rFonts w:asciiTheme="minorHAnsi" w:hAnsiTheme="minorHAnsi" w:cstheme="minorHAnsi"/>
          <w:spacing w:val="-2"/>
          <w:sz w:val="22"/>
          <w:szCs w:val="22"/>
          <w:u w:val="single"/>
        </w:rPr>
        <w:t>direct</w:t>
      </w:r>
      <w:r w:rsidRPr="00BE1CE4">
        <w:rPr>
          <w:rFonts w:asciiTheme="minorHAnsi" w:hAnsiTheme="minorHAnsi" w:cstheme="minorHAnsi"/>
          <w:spacing w:val="-2"/>
          <w:sz w:val="22"/>
          <w:szCs w:val="22"/>
        </w:rPr>
        <w:t xml:space="preserve"> services, as define</w:t>
      </w:r>
      <w:r w:rsidR="00547B22">
        <w:rPr>
          <w:rFonts w:asciiTheme="minorHAnsi" w:hAnsiTheme="minorHAnsi" w:cstheme="minorHAnsi"/>
          <w:spacing w:val="-2"/>
          <w:sz w:val="22"/>
          <w:szCs w:val="22"/>
        </w:rPr>
        <w:t>d</w:t>
      </w:r>
      <w:r w:rsidRPr="00BE1CE4">
        <w:rPr>
          <w:rFonts w:asciiTheme="minorHAnsi" w:hAnsiTheme="minorHAnsi" w:cstheme="minorHAnsi"/>
          <w:spacing w:val="-2"/>
          <w:sz w:val="22"/>
          <w:szCs w:val="22"/>
        </w:rPr>
        <w:t xml:space="preserve"> by regulation 101 CMR 204.00, directly at the facility.  The benefits including payroll taxes, group insurance, workers compensation, pension and </w:t>
      </w:r>
      <w:proofErr w:type="gramStart"/>
      <w:r w:rsidRPr="00BE1CE4">
        <w:rPr>
          <w:rFonts w:asciiTheme="minorHAnsi" w:hAnsiTheme="minorHAnsi" w:cstheme="minorHAnsi"/>
          <w:spacing w:val="-2"/>
          <w:sz w:val="22"/>
          <w:szCs w:val="22"/>
        </w:rPr>
        <w:t>other</w:t>
      </w:r>
      <w:proofErr w:type="gramEnd"/>
      <w:r w:rsidRPr="00BE1CE4">
        <w:rPr>
          <w:rFonts w:asciiTheme="minorHAnsi" w:hAnsiTheme="minorHAnsi" w:cstheme="minorHAnsi"/>
          <w:spacing w:val="-2"/>
          <w:sz w:val="22"/>
          <w:szCs w:val="22"/>
        </w:rPr>
        <w:t xml:space="preserve"> for these employees must be </w:t>
      </w:r>
      <w:r w:rsidR="006D3BC6" w:rsidRPr="00BE1CE4">
        <w:rPr>
          <w:rFonts w:asciiTheme="minorHAnsi" w:hAnsiTheme="minorHAnsi" w:cstheme="minorHAnsi"/>
          <w:spacing w:val="-2"/>
          <w:sz w:val="22"/>
          <w:szCs w:val="22"/>
        </w:rPr>
        <w:t>self-disallowed</w:t>
      </w:r>
      <w:r w:rsidRPr="00BE1CE4">
        <w:rPr>
          <w:rFonts w:asciiTheme="minorHAnsi" w:hAnsiTheme="minorHAnsi" w:cstheme="minorHAnsi"/>
          <w:spacing w:val="-2"/>
          <w:sz w:val="22"/>
          <w:szCs w:val="22"/>
        </w:rPr>
        <w:t>.</w:t>
      </w:r>
      <w:bookmarkEnd w:id="1"/>
    </w:p>
    <w:p w14:paraId="00EB05AB"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9382.0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w:t>
      </w:r>
    </w:p>
    <w:p w14:paraId="53450F0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account must be itemized at the top of page 13.  If Real Property Rental is included, a copy of the lease must be on file with the Center.  If rent is claimed, an HCF-2-RH must be filed.  </w:t>
      </w:r>
    </w:p>
    <w:p w14:paraId="1B5DF881"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9391.0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Other Property Costs</w:t>
      </w:r>
    </w:p>
    <w:p w14:paraId="7F1328F4"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Provide details of this account on Schedule 22.  This account should </w:t>
      </w:r>
      <w:r w:rsidRPr="00BE1CE4">
        <w:rPr>
          <w:rFonts w:asciiTheme="minorHAnsi" w:hAnsiTheme="minorHAnsi" w:cstheme="minorHAnsi"/>
          <w:spacing w:val="-3"/>
          <w:sz w:val="22"/>
          <w:szCs w:val="22"/>
          <w:u w:val="single"/>
        </w:rPr>
        <w:t>not</w:t>
      </w:r>
      <w:r w:rsidRPr="00BE1CE4">
        <w:rPr>
          <w:rFonts w:asciiTheme="minorHAnsi" w:hAnsiTheme="minorHAnsi" w:cstheme="minorHAnsi"/>
          <w:spacing w:val="-3"/>
          <w:sz w:val="22"/>
          <w:szCs w:val="22"/>
        </w:rPr>
        <w:t xml:space="preserve"> include rent.</w:t>
      </w:r>
    </w:p>
    <w:p w14:paraId="1D170C68" w14:textId="77777777" w:rsidR="005559D0" w:rsidRPr="00BE1CE4" w:rsidRDefault="005559D0" w:rsidP="005559D0">
      <w:pPr>
        <w:tabs>
          <w:tab w:val="left" w:pos="-720"/>
        </w:tabs>
        <w:suppressAutoHyphens/>
        <w:ind w:left="994"/>
        <w:jc w:val="both"/>
        <w:rPr>
          <w:rFonts w:asciiTheme="minorHAnsi" w:hAnsiTheme="minorHAnsi" w:cstheme="minorHAnsi"/>
          <w:spacing w:val="-3"/>
          <w:sz w:val="22"/>
          <w:szCs w:val="22"/>
        </w:rPr>
      </w:pPr>
    </w:p>
    <w:p w14:paraId="1843BDB0" w14:textId="21CEA56F"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Reported Expenses by Type</w:t>
      </w:r>
    </w:p>
    <w:p w14:paraId="79D0BC7C"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Fixed Costs:</w:t>
      </w:r>
    </w:p>
    <w:p w14:paraId="57DBE00D" w14:textId="6FFBD033"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fixed (“F”) accounts in the Profit and Loss Statement should be reported in this account.  Please refer to the expense classification grid for a listing of all the subsidiary accounts related to this control </w:t>
      </w:r>
      <w:r w:rsidR="006D3BC6" w:rsidRPr="00BE1CE4">
        <w:rPr>
          <w:rFonts w:asciiTheme="minorHAnsi" w:hAnsiTheme="minorHAnsi" w:cstheme="minorHAnsi"/>
          <w:spacing w:val="-3"/>
          <w:sz w:val="22"/>
          <w:szCs w:val="22"/>
        </w:rPr>
        <w:t>account.</w:t>
      </w:r>
    </w:p>
    <w:p w14:paraId="292F2811"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 &amp; G Expenses:</w:t>
      </w:r>
    </w:p>
    <w:p w14:paraId="1120E9BF"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all administrative and general (“A &amp; G”) accounts in the Profit and Loss Statement should be reported in this account. Please refer to the expense classification grid for a listing of all the subsidiary accounts related to this control account.</w:t>
      </w:r>
    </w:p>
    <w:p w14:paraId="36B4087F" w14:textId="77777777" w:rsidR="005559D0" w:rsidRPr="00BE1CE4" w:rsidRDefault="005559D0" w:rsidP="005559D0">
      <w:pPr>
        <w:tabs>
          <w:tab w:val="left" w:pos="-720"/>
          <w:tab w:val="left" w:pos="0"/>
          <w:tab w:val="left" w:pos="288"/>
          <w:tab w:val="left" w:pos="720"/>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Variable Expenses:</w:t>
      </w:r>
    </w:p>
    <w:p w14:paraId="1396590B" w14:textId="04F2EBAF" w:rsidR="005559D0" w:rsidRPr="00BE1CE4" w:rsidRDefault="005559D0" w:rsidP="00F86057">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sum of all </w:t>
      </w:r>
      <w:proofErr w:type="gramStart"/>
      <w:r w:rsidR="006D3BC6" w:rsidRPr="00BE1CE4">
        <w:rPr>
          <w:rFonts w:asciiTheme="minorHAnsi" w:hAnsiTheme="minorHAnsi" w:cstheme="minorHAnsi"/>
          <w:spacing w:val="-3"/>
          <w:sz w:val="22"/>
          <w:szCs w:val="22"/>
        </w:rPr>
        <w:t>variable</w:t>
      </w:r>
      <w:proofErr w:type="gramEnd"/>
      <w:r w:rsidRPr="00BE1CE4">
        <w:rPr>
          <w:rFonts w:asciiTheme="minorHAnsi" w:hAnsiTheme="minorHAnsi" w:cstheme="minorHAnsi"/>
          <w:spacing w:val="-3"/>
          <w:sz w:val="22"/>
          <w:szCs w:val="22"/>
        </w:rPr>
        <w:t xml:space="preserve"> (“V”) accounts in the Profit and Loss Statement should be reported in </w:t>
      </w:r>
    </w:p>
    <w:p w14:paraId="09E2BDD6"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account. Please refer to the expense classification grid for a listing of all the subsidiary accounts related to this control account.</w:t>
      </w:r>
    </w:p>
    <w:p w14:paraId="5A996F1E"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 </w:t>
      </w:r>
    </w:p>
    <w:p w14:paraId="4B48AA77" w14:textId="77777777" w:rsidR="005559D0" w:rsidRPr="00BE1CE4" w:rsidRDefault="005559D0" w:rsidP="005559D0">
      <w:pPr>
        <w:tabs>
          <w:tab w:val="left" w:pos="-720"/>
          <w:tab w:val="left" w:pos="288"/>
          <w:tab w:val="left" w:pos="994"/>
        </w:tabs>
        <w:suppressAutoHyphens/>
        <w:ind w:left="1282" w:hanging="994"/>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9300.4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Automatically Disallowed Expenses:</w:t>
      </w:r>
    </w:p>
    <w:p w14:paraId="3DC06588" w14:textId="77777777" w:rsidR="005559D0" w:rsidRPr="00BE1CE4" w:rsidRDefault="005559D0" w:rsidP="005559D0">
      <w:pPr>
        <w:tabs>
          <w:tab w:val="left" w:pos="-720"/>
          <w:tab w:val="left" w:pos="0"/>
          <w:tab w:val="left" w:pos="288"/>
          <w:tab w:val="left" w:pos="720"/>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The sum of all the automatically disallowed (“N”) accounts in the Profit and Loss Statement should be reported in this account.  Please refer to the expense classification grid for a listing of all the subsidiary accounts related to this control account.  The individual “N” </w:t>
      </w:r>
      <w:r w:rsidRPr="00BE1CE4">
        <w:rPr>
          <w:rFonts w:asciiTheme="minorHAnsi" w:hAnsiTheme="minorHAnsi" w:cstheme="minorHAnsi"/>
          <w:spacing w:val="-3"/>
          <w:sz w:val="22"/>
          <w:szCs w:val="22"/>
        </w:rPr>
        <w:lastRenderedPageBreak/>
        <w:t>account values must also be reported in their entirety in Schedule 13, Detail of Automatically Disallowed Expenses.</w:t>
      </w:r>
    </w:p>
    <w:p w14:paraId="1903E521" w14:textId="77777777" w:rsidR="005559D0" w:rsidRPr="00BE1CE4" w:rsidRDefault="005559D0" w:rsidP="005559D0">
      <w:pPr>
        <w:tabs>
          <w:tab w:val="left" w:pos="288"/>
          <w:tab w:val="left" w:pos="994"/>
        </w:tabs>
        <w:suppressAutoHyphens/>
        <w:ind w:left="1282" w:hanging="994"/>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9300.0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Reported Management Company Expenses:</w:t>
      </w:r>
    </w:p>
    <w:p w14:paraId="4579EAD8" w14:textId="77777777" w:rsidR="005559D0" w:rsidRPr="00BE1CE4" w:rsidRDefault="005559D0" w:rsidP="005559D0">
      <w:pPr>
        <w:tabs>
          <w:tab w:val="left" w:pos="288"/>
          <w:tab w:val="left" w:pos="994"/>
        </w:tabs>
        <w:suppressAutoHyphens/>
        <w:ind w:left="994"/>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sum of the expenses reported in accounts 9300.1, 9300.5, 9300.6, 9300.8 and 9300.4 should be reported in this account.</w:t>
      </w:r>
    </w:p>
    <w:p w14:paraId="713341B9"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566D4D91"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Non-Allowable Expenses by Type</w:t>
      </w:r>
    </w:p>
    <w:p w14:paraId="3A459B27" w14:textId="77777777" w:rsidR="005559D0" w:rsidRPr="00BE1CE4" w:rsidRDefault="005559D0" w:rsidP="005559D0">
      <w:pPr>
        <w:tabs>
          <w:tab w:val="left" w:pos="-720"/>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Fixed Costs:</w:t>
      </w:r>
    </w:p>
    <w:p w14:paraId="1B5DFB1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total self-disallowed amount in this account is carried forward from Schedule 14, account 9301.1.  Refer to the Schedule 14 instructions for the details on how this number is calculated for fixed costs. </w:t>
      </w:r>
    </w:p>
    <w:p w14:paraId="7F76659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A &amp; G Expenses:</w:t>
      </w:r>
    </w:p>
    <w:p w14:paraId="7C252414"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9301.5.</w:t>
      </w:r>
    </w:p>
    <w:p w14:paraId="37E610C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Variable Expenses:</w:t>
      </w:r>
    </w:p>
    <w:p w14:paraId="101E390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self-disallowed amount in this account is carried forward from Schedule 14, account 9301.6.</w:t>
      </w:r>
    </w:p>
    <w:p w14:paraId="727D69E6"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9301.8</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Self-Disallowed Director of Nursing Expenses:</w:t>
      </w:r>
    </w:p>
    <w:p w14:paraId="50547F8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 xml:space="preserve">The total self-disallowed amount in this account is carried forward from Schedule 14, account 9301.8. </w:t>
      </w:r>
    </w:p>
    <w:p w14:paraId="54AD82A9"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1F7A69B5"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total Automatically Disallowed Expenses in this account is carried forward from Schedule 13, account 9301.4.  This account must equal account 9300.4.</w:t>
      </w:r>
    </w:p>
    <w:p w14:paraId="36361634" w14:textId="77777777" w:rsidR="005559D0" w:rsidRPr="00BE1CE4" w:rsidRDefault="005559D0" w:rsidP="005559D0">
      <w:pPr>
        <w:tabs>
          <w:tab w:val="left" w:pos="36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9301.0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Non-Allowable Management Company Expenses:</w:t>
      </w:r>
    </w:p>
    <w:p w14:paraId="53FE8D60"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t>The sum of the expenses reported in accounts 9301.1, 9301.5, 9301.6, 9301.8 and 9301.4</w:t>
      </w:r>
    </w:p>
    <w:p w14:paraId="67827676" w14:textId="77777777" w:rsidR="005559D0" w:rsidRPr="00BE1CE4" w:rsidRDefault="005559D0" w:rsidP="005559D0">
      <w:pPr>
        <w:tabs>
          <w:tab w:val="left" w:pos="-720"/>
          <w:tab w:val="left" w:pos="0"/>
          <w:tab w:val="left" w:pos="720"/>
        </w:tabs>
        <w:suppressAutoHyphens/>
        <w:ind w:left="720" w:hanging="720"/>
        <w:jc w:val="both"/>
        <w:rPr>
          <w:rFonts w:asciiTheme="minorHAnsi" w:hAnsiTheme="minorHAnsi" w:cstheme="minorHAnsi"/>
          <w:spacing w:val="-3"/>
          <w:sz w:val="22"/>
          <w:szCs w:val="22"/>
        </w:rPr>
      </w:pPr>
    </w:p>
    <w:p w14:paraId="13077DDD" w14:textId="77777777" w:rsidR="005559D0" w:rsidRPr="00BE1CE4" w:rsidRDefault="005559D0" w:rsidP="005559D0">
      <w:pPr>
        <w:tabs>
          <w:tab w:val="left" w:pos="-720"/>
          <w:tab w:val="left" w:pos="0"/>
          <w:tab w:val="left" w:pos="720"/>
        </w:tabs>
        <w:suppressAutoHyphens/>
        <w:ind w:left="720" w:hanging="360"/>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Adjusted Expenses by Type</w:t>
      </w:r>
    </w:p>
    <w:p w14:paraId="21743777" w14:textId="77777777" w:rsidR="005559D0" w:rsidRPr="00BE1CE4" w:rsidRDefault="005559D0" w:rsidP="005559D0">
      <w:pPr>
        <w:tabs>
          <w:tab w:val="left" w:pos="-720"/>
          <w:tab w:val="left" w:pos="36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9302.1</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Fixed Costs (from Schedule 15):</w:t>
      </w:r>
    </w:p>
    <w:p w14:paraId="0280A235"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9302.9</w:t>
      </w:r>
      <w:r w:rsidRPr="00BE1CE4">
        <w:rPr>
          <w:rFonts w:asciiTheme="minorHAnsi" w:hAnsiTheme="minorHAnsi" w:cstheme="minorHAnsi"/>
          <w:spacing w:val="-3"/>
          <w:sz w:val="22"/>
          <w:szCs w:val="22"/>
        </w:rPr>
        <w:t xml:space="preserve"> The difference between the total reported fixed costs, account 9300.1, and the total non-allowable fixed costs, account </w:t>
      </w:r>
      <w:proofErr w:type="gramStart"/>
      <w:r w:rsidRPr="00BE1CE4">
        <w:rPr>
          <w:rFonts w:asciiTheme="minorHAnsi" w:hAnsiTheme="minorHAnsi" w:cstheme="minorHAnsi"/>
          <w:spacing w:val="-3"/>
          <w:sz w:val="22"/>
          <w:szCs w:val="22"/>
        </w:rPr>
        <w:t>9301.1</w:t>
      </w:r>
      <w:proofErr w:type="gramEnd"/>
      <w:r w:rsidRPr="00BE1CE4">
        <w:rPr>
          <w:rFonts w:asciiTheme="minorHAnsi" w:hAnsiTheme="minorHAnsi" w:cstheme="minorHAnsi"/>
          <w:spacing w:val="-3"/>
          <w:sz w:val="22"/>
          <w:szCs w:val="22"/>
        </w:rPr>
        <w:t xml:space="preserve"> should be reported in this account.  The account total must also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claimed fixed cost amount in Schedule 15, Detail of Claimed Fixed Costs, account 9302.1 net of any recoverable income and Schedule 10, column H. </w:t>
      </w:r>
    </w:p>
    <w:p w14:paraId="1BDB73CB"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9302.5</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A &amp; G Expenses:</w:t>
      </w:r>
    </w:p>
    <w:p w14:paraId="4CF5F07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total reported variable expenses, account 9300.5, and the total non-allowable A &amp; G expenses, account </w:t>
      </w:r>
      <w:proofErr w:type="gramStart"/>
      <w:r w:rsidRPr="00BE1CE4">
        <w:rPr>
          <w:rFonts w:asciiTheme="minorHAnsi" w:hAnsiTheme="minorHAnsi" w:cstheme="minorHAnsi"/>
          <w:spacing w:val="-3"/>
          <w:sz w:val="22"/>
          <w:szCs w:val="22"/>
        </w:rPr>
        <w:t>9301.5</w:t>
      </w:r>
      <w:proofErr w:type="gramEnd"/>
      <w:r w:rsidRPr="00BE1CE4">
        <w:rPr>
          <w:rFonts w:asciiTheme="minorHAnsi" w:hAnsiTheme="minorHAnsi" w:cstheme="minorHAnsi"/>
          <w:spacing w:val="-3"/>
          <w:sz w:val="22"/>
          <w:szCs w:val="22"/>
        </w:rPr>
        <w:t xml:space="preserve"> should be reported in this account.  The account total must also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claimed allocated A &amp; G expenses amount in Schedule 10, columns C &amp; D.</w:t>
      </w:r>
    </w:p>
    <w:p w14:paraId="621A2AED" w14:textId="3905A37E" w:rsidR="005559D0" w:rsidRPr="00BE1CE4" w:rsidRDefault="006D3BC6" w:rsidP="005559D0">
      <w:pPr>
        <w:tabs>
          <w:tab w:val="center" w:pos="5537"/>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  </w:t>
      </w:r>
    </w:p>
    <w:p w14:paraId="20EDA209"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9302.6</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Variable Expenses:</w:t>
      </w:r>
    </w:p>
    <w:p w14:paraId="576E083D"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total reported variable expenses, account 9300.6, and the total non-allowable variable expenses, account </w:t>
      </w:r>
      <w:proofErr w:type="gramStart"/>
      <w:r w:rsidRPr="00BE1CE4">
        <w:rPr>
          <w:rFonts w:asciiTheme="minorHAnsi" w:hAnsiTheme="minorHAnsi" w:cstheme="minorHAnsi"/>
          <w:spacing w:val="-3"/>
          <w:sz w:val="22"/>
          <w:szCs w:val="22"/>
        </w:rPr>
        <w:t>9301.6</w:t>
      </w:r>
      <w:proofErr w:type="gramEnd"/>
      <w:r w:rsidRPr="00BE1CE4">
        <w:rPr>
          <w:rFonts w:asciiTheme="minorHAnsi" w:hAnsiTheme="minorHAnsi" w:cstheme="minorHAnsi"/>
          <w:spacing w:val="-3"/>
          <w:sz w:val="22"/>
          <w:szCs w:val="22"/>
        </w:rPr>
        <w:t xml:space="preserve"> should be reported in this account.  The account </w:t>
      </w:r>
    </w:p>
    <w:p w14:paraId="333EE540"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r>
      <w:proofErr w:type="gramStart"/>
      <w:r w:rsidRPr="00BE1CE4">
        <w:rPr>
          <w:rFonts w:asciiTheme="minorHAnsi" w:hAnsiTheme="minorHAnsi" w:cstheme="minorHAnsi"/>
          <w:spacing w:val="-3"/>
          <w:sz w:val="22"/>
          <w:szCs w:val="22"/>
        </w:rPr>
        <w:t>total</w:t>
      </w:r>
      <w:proofErr w:type="gramEnd"/>
      <w:r w:rsidRPr="00BE1CE4">
        <w:rPr>
          <w:rFonts w:asciiTheme="minorHAnsi" w:hAnsiTheme="minorHAnsi" w:cstheme="minorHAnsi"/>
          <w:spacing w:val="-3"/>
          <w:sz w:val="22"/>
          <w:szCs w:val="22"/>
        </w:rPr>
        <w:t xml:space="preserve"> must also reconcile with the claimed allocated variable expenses amount in Schedule 10, column F.</w:t>
      </w:r>
    </w:p>
    <w:p w14:paraId="0EEDA0F8" w14:textId="77777777" w:rsidR="005559D0" w:rsidRPr="00BE1CE4" w:rsidRDefault="005559D0" w:rsidP="005559D0">
      <w:pPr>
        <w:tabs>
          <w:tab w:val="left" w:pos="-720"/>
          <w:tab w:val="left" w:pos="0"/>
          <w:tab w:val="left" w:pos="360"/>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9302.4</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Automatically Disallowed Expenses:</w:t>
      </w:r>
    </w:p>
    <w:p w14:paraId="4D44FFF7" w14:textId="77777777" w:rsidR="005559D0" w:rsidRPr="00BE1CE4" w:rsidRDefault="005559D0" w:rsidP="005559D0">
      <w:pPr>
        <w:tabs>
          <w:tab w:val="left" w:pos="-720"/>
          <w:tab w:val="left" w:pos="0"/>
          <w:tab w:val="left" w:pos="288"/>
          <w:tab w:val="left" w:pos="720"/>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The difference between the </w:t>
      </w:r>
      <w:proofErr w:type="gramStart"/>
      <w:r w:rsidRPr="00BE1CE4">
        <w:rPr>
          <w:rFonts w:asciiTheme="minorHAnsi" w:hAnsiTheme="minorHAnsi" w:cstheme="minorHAnsi"/>
          <w:spacing w:val="-3"/>
          <w:sz w:val="22"/>
          <w:szCs w:val="22"/>
        </w:rPr>
        <w:t>total reported</w:t>
      </w:r>
      <w:proofErr w:type="gramEnd"/>
      <w:r w:rsidRPr="00BE1CE4">
        <w:rPr>
          <w:rFonts w:asciiTheme="minorHAnsi" w:hAnsiTheme="minorHAnsi" w:cstheme="minorHAnsi"/>
          <w:spacing w:val="-3"/>
          <w:sz w:val="22"/>
          <w:szCs w:val="22"/>
        </w:rPr>
        <w:t xml:space="preserve"> automatically disallowed account 9300.4, and the total automatically disallowed expenses, account 9301.4, should be reported in this account.  This account must equal zero.</w:t>
      </w:r>
    </w:p>
    <w:p w14:paraId="6B1C97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9502.2</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HCF-2-RH Operating Expense Add-back (HCF-2-RH Schedule 4)</w:t>
      </w:r>
    </w:p>
    <w:p w14:paraId="42EFAB0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ab/>
        <w:t>This amount should be carried forward from the HCF-2-RH, Schedule 4.  The account total must also reconcile with the claimed HCF-2 Operating Add-back allocated amount in Schedule 10, column “E”.</w:t>
      </w:r>
    </w:p>
    <w:p w14:paraId="7F804603"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u w:val="single"/>
        </w:rPr>
      </w:pPr>
      <w:r w:rsidRPr="00BE1CE4">
        <w:rPr>
          <w:rFonts w:asciiTheme="minorHAnsi" w:hAnsiTheme="minorHAnsi" w:cstheme="minorHAnsi"/>
          <w:b/>
          <w:spacing w:val="-3"/>
          <w:sz w:val="22"/>
          <w:szCs w:val="22"/>
        </w:rPr>
        <w:t>9302.0</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Total Adjusted Management Company Expenses:</w:t>
      </w:r>
    </w:p>
    <w:p w14:paraId="770ADC92" w14:textId="77777777" w:rsidR="005559D0" w:rsidRPr="00BE1CE4" w:rsidRDefault="005559D0" w:rsidP="005559D0">
      <w:pPr>
        <w:tabs>
          <w:tab w:val="left" w:pos="288"/>
          <w:tab w:val="left" w:pos="994"/>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proofErr w:type="gramStart"/>
      <w:r w:rsidRPr="00BE1CE4">
        <w:rPr>
          <w:rFonts w:asciiTheme="minorHAnsi" w:hAnsiTheme="minorHAnsi" w:cstheme="minorHAnsi"/>
          <w:spacing w:val="-3"/>
          <w:sz w:val="22"/>
          <w:szCs w:val="22"/>
        </w:rPr>
        <w:t>Sum</w:t>
      </w:r>
      <w:proofErr w:type="gramEnd"/>
      <w:r w:rsidRPr="00BE1CE4">
        <w:rPr>
          <w:rFonts w:asciiTheme="minorHAnsi" w:hAnsiTheme="minorHAnsi" w:cstheme="minorHAnsi"/>
          <w:spacing w:val="-3"/>
          <w:sz w:val="22"/>
          <w:szCs w:val="22"/>
        </w:rPr>
        <w:t xml:space="preserve"> of the expenses reported in accounts 9302.1, 9302.5, 9302.6, 9302.8, 9302.4 and 9502.2.  This account must also </w:t>
      </w:r>
      <w:proofErr w:type="gramStart"/>
      <w:r w:rsidRPr="00BE1CE4">
        <w:rPr>
          <w:rFonts w:asciiTheme="minorHAnsi" w:hAnsiTheme="minorHAnsi" w:cstheme="minorHAnsi"/>
          <w:spacing w:val="-3"/>
          <w:sz w:val="22"/>
          <w:szCs w:val="22"/>
        </w:rPr>
        <w:t>equal account</w:t>
      </w:r>
      <w:proofErr w:type="gramEnd"/>
      <w:r w:rsidRPr="00BE1CE4">
        <w:rPr>
          <w:rFonts w:asciiTheme="minorHAnsi" w:hAnsiTheme="minorHAnsi" w:cstheme="minorHAnsi"/>
          <w:spacing w:val="-3"/>
          <w:sz w:val="22"/>
          <w:szCs w:val="22"/>
        </w:rPr>
        <w:t xml:space="preserve"> 9300.0 less 9301.0 plus 9502.2.</w:t>
      </w:r>
    </w:p>
    <w:p w14:paraId="76BCB410"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4054C0B9" w14:textId="77777777" w:rsidR="005559D0" w:rsidRPr="00BE1CE4" w:rsidRDefault="005559D0" w:rsidP="005559D0">
      <w:pPr>
        <w:tabs>
          <w:tab w:val="left" w:pos="288"/>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5:</w:t>
      </w:r>
      <w:r w:rsidRPr="00BE1CE4">
        <w:rPr>
          <w:rFonts w:asciiTheme="minorHAnsi" w:hAnsiTheme="minorHAnsi" w:cstheme="minorHAnsi"/>
          <w:b/>
          <w:spacing w:val="-3"/>
          <w:sz w:val="22"/>
          <w:szCs w:val="22"/>
        </w:rPr>
        <w:tab/>
        <w:t>Analysis of Mortgages and Notes Payable</w:t>
      </w:r>
    </w:p>
    <w:p w14:paraId="0E725D3D" w14:textId="3517BAE4"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546FB371"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C43DE6D"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7:</w:t>
      </w:r>
      <w:r w:rsidRPr="00BE1CE4">
        <w:rPr>
          <w:rFonts w:asciiTheme="minorHAnsi" w:hAnsiTheme="minorHAnsi" w:cstheme="minorHAnsi"/>
          <w:b/>
          <w:spacing w:val="-3"/>
          <w:sz w:val="22"/>
          <w:szCs w:val="22"/>
        </w:rPr>
        <w:tab/>
        <w:t>Reconciliation of Income per Report with Income per Books</w:t>
      </w:r>
    </w:p>
    <w:p w14:paraId="32B8D669" w14:textId="70360AB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780659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26AB3264" w14:textId="77777777"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8:</w:t>
      </w:r>
      <w:r w:rsidRPr="00BE1CE4">
        <w:rPr>
          <w:rFonts w:asciiTheme="minorHAnsi" w:hAnsiTheme="minorHAnsi" w:cstheme="minorHAnsi"/>
          <w:b/>
          <w:spacing w:val="-3"/>
          <w:sz w:val="22"/>
          <w:szCs w:val="22"/>
        </w:rPr>
        <w:tab/>
        <w:t>Reconciliation of Net Worth</w:t>
      </w:r>
    </w:p>
    <w:p w14:paraId="10B8F994" w14:textId="1B83FCDA"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See HCF-4 Instructions. This schedule is </w:t>
      </w:r>
      <w:r w:rsidR="006D3BC6" w:rsidRPr="00BE1CE4">
        <w:rPr>
          <w:rFonts w:asciiTheme="minorHAnsi" w:hAnsiTheme="minorHAnsi" w:cstheme="minorHAnsi"/>
          <w:spacing w:val="-3"/>
          <w:sz w:val="22"/>
          <w:szCs w:val="22"/>
        </w:rPr>
        <w:t>like</w:t>
      </w:r>
      <w:r w:rsidRPr="00BE1CE4">
        <w:rPr>
          <w:rFonts w:asciiTheme="minorHAnsi" w:hAnsiTheme="minorHAnsi" w:cstheme="minorHAnsi"/>
          <w:spacing w:val="-3"/>
          <w:sz w:val="22"/>
          <w:szCs w:val="22"/>
        </w:rPr>
        <w:t xml:space="preserve"> the HCF-4 schedule except that it is information furnished for the HCF-3.</w:t>
      </w:r>
      <w:r w:rsidRPr="00BE1CE4" w:rsidDel="001F2032">
        <w:rPr>
          <w:rFonts w:asciiTheme="minorHAnsi" w:hAnsiTheme="minorHAnsi" w:cstheme="minorHAnsi"/>
          <w:spacing w:val="-3"/>
          <w:sz w:val="22"/>
          <w:szCs w:val="22"/>
        </w:rPr>
        <w:t xml:space="preserve"> </w:t>
      </w:r>
    </w:p>
    <w:p w14:paraId="234B4EA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B160743" w14:textId="02E3A0D6" w:rsidR="005559D0" w:rsidRPr="00BE1CE4" w:rsidRDefault="005559D0" w:rsidP="005559D0">
      <w:pPr>
        <w:tabs>
          <w:tab w:val="left" w:pos="288"/>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10:</w:t>
      </w:r>
      <w:r w:rsidR="00EF5171">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 xml:space="preserve">Management Company/Central Office Expense Allocation:  </w:t>
      </w:r>
    </w:p>
    <w:p w14:paraId="372142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Center recognizes that some companies directly employ or contract the following positions</w:t>
      </w:r>
      <w:proofErr w:type="gramStart"/>
      <w:r w:rsidRPr="00BE1CE4">
        <w:rPr>
          <w:rFonts w:asciiTheme="minorHAnsi" w:hAnsiTheme="minorHAnsi" w:cstheme="minorHAnsi"/>
          <w:spacing w:val="-3"/>
          <w:sz w:val="22"/>
          <w:szCs w:val="22"/>
        </w:rPr>
        <w:t>:  Director</w:t>
      </w:r>
      <w:proofErr w:type="gramEnd"/>
      <w:r w:rsidRPr="00BE1CE4">
        <w:rPr>
          <w:rFonts w:asciiTheme="minorHAnsi" w:hAnsiTheme="minorHAnsi" w:cstheme="minorHAnsi"/>
          <w:spacing w:val="-3"/>
          <w:sz w:val="22"/>
          <w:szCs w:val="22"/>
        </w:rPr>
        <w:t xml:space="preserve"> of Nurses, Dietitian, Indirect Restorative Therapist, Quality Assurance Professional, Administrator and Administrator-in-Training. Schedule 10, Parts 2, 3 and 4 allows for add-backs to correspond with existing cost centers.  </w:t>
      </w:r>
    </w:p>
    <w:p w14:paraId="1204B65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59D3B10C" w14:textId="516D35B1"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Schedule 10 must list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Massachusetts nursing and </w:t>
      </w:r>
      <w:r w:rsidR="006E31C6">
        <w:rPr>
          <w:rFonts w:asciiTheme="minorHAnsi" w:hAnsiTheme="minorHAnsi" w:cstheme="minorHAnsi"/>
          <w:spacing w:val="-3"/>
          <w:sz w:val="22"/>
          <w:szCs w:val="22"/>
        </w:rPr>
        <w:t>resident care facilities (</w:t>
      </w:r>
      <w:r w:rsidR="00A85DDE">
        <w:rPr>
          <w:rFonts w:asciiTheme="minorHAnsi" w:hAnsiTheme="minorHAnsi" w:cstheme="minorHAnsi"/>
          <w:spacing w:val="-3"/>
          <w:sz w:val="22"/>
          <w:szCs w:val="22"/>
        </w:rPr>
        <w:t xml:space="preserve">also </w:t>
      </w:r>
      <w:r w:rsidR="006E31C6">
        <w:rPr>
          <w:rFonts w:asciiTheme="minorHAnsi" w:hAnsiTheme="minorHAnsi" w:cstheme="minorHAnsi"/>
          <w:spacing w:val="-3"/>
          <w:sz w:val="22"/>
          <w:szCs w:val="22"/>
        </w:rPr>
        <w:t>known as “</w:t>
      </w:r>
      <w:r w:rsidRPr="00BE1CE4">
        <w:rPr>
          <w:rFonts w:asciiTheme="minorHAnsi" w:hAnsiTheme="minorHAnsi" w:cstheme="minorHAnsi"/>
          <w:spacing w:val="-3"/>
          <w:sz w:val="22"/>
          <w:szCs w:val="22"/>
        </w:rPr>
        <w:t>rest homes</w:t>
      </w:r>
      <w:r w:rsidR="006E31C6">
        <w:rPr>
          <w:rFonts w:asciiTheme="minorHAnsi" w:hAnsiTheme="minorHAnsi" w:cstheme="minorHAnsi"/>
          <w:spacing w:val="-3"/>
          <w:sz w:val="22"/>
          <w:szCs w:val="22"/>
        </w:rPr>
        <w:t>”)</w:t>
      </w:r>
      <w:r w:rsidRPr="00BE1CE4">
        <w:rPr>
          <w:rFonts w:asciiTheme="minorHAnsi" w:hAnsiTheme="minorHAnsi" w:cstheme="minorHAnsi"/>
          <w:spacing w:val="-3"/>
          <w:sz w:val="22"/>
          <w:szCs w:val="22"/>
        </w:rPr>
        <w:t xml:space="preserve"> managed by this entity.  The allocation of costs must be over the </w:t>
      </w:r>
      <w:proofErr w:type="gramStart"/>
      <w:r w:rsidRPr="00BE1CE4">
        <w:rPr>
          <w:rFonts w:asciiTheme="minorHAnsi" w:hAnsiTheme="minorHAnsi" w:cstheme="minorHAnsi"/>
          <w:spacing w:val="-3"/>
          <w:sz w:val="22"/>
          <w:szCs w:val="22"/>
        </w:rPr>
        <w:t>management</w:t>
      </w:r>
      <w:proofErr w:type="gramEnd"/>
      <w:r w:rsidRPr="00BE1CE4">
        <w:rPr>
          <w:rFonts w:asciiTheme="minorHAnsi" w:hAnsiTheme="minorHAnsi" w:cstheme="minorHAnsi"/>
          <w:spacing w:val="-3"/>
          <w:sz w:val="22"/>
          <w:szCs w:val="22"/>
        </w:rPr>
        <w:t xml:space="preserve"> company or central office's businesses.  This includes MA and Non-MA facilities (even those facilities which do not claim expenses on their </w:t>
      </w:r>
      <w:r w:rsidR="00EA4C27">
        <w:rPr>
          <w:rFonts w:asciiTheme="minorHAnsi" w:hAnsiTheme="minorHAnsi" w:cstheme="minorHAnsi"/>
          <w:spacing w:val="-3"/>
          <w:sz w:val="22"/>
          <w:szCs w:val="22"/>
        </w:rPr>
        <w:t>SNF-CR</w:t>
      </w:r>
      <w:r w:rsidRPr="00BE1CE4">
        <w:rPr>
          <w:rFonts w:asciiTheme="minorHAnsi" w:hAnsiTheme="minorHAnsi" w:cstheme="minorHAnsi"/>
          <w:spacing w:val="-3"/>
          <w:sz w:val="22"/>
          <w:szCs w:val="22"/>
        </w:rPr>
        <w:t xml:space="preserve"> or HCF-4), and all other businesses (MA and Non-MA).  Schedule 10 has been carefully designed to accommodate direct expense charges or credits to specific nursing facility or other entity activities.  Whenever such direct assignments are necessary, a complete explanation and comprehensive documentation justifying the specific assignment of costs is necessary.</w:t>
      </w:r>
    </w:p>
    <w:p w14:paraId="293BEEDB"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B4704B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Part 1:</w:t>
      </w:r>
    </w:p>
    <w:p w14:paraId="6E8C2941" w14:textId="26E159A6"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represents </w:t>
      </w:r>
      <w:r w:rsidR="006D3BC6" w:rsidRPr="00BE1CE4">
        <w:rPr>
          <w:rFonts w:asciiTheme="minorHAnsi" w:hAnsiTheme="minorHAnsi" w:cstheme="minorHAnsi"/>
          <w:spacing w:val="-3"/>
          <w:sz w:val="22"/>
          <w:szCs w:val="22"/>
        </w:rPr>
        <w:t>all</w:t>
      </w:r>
      <w:r w:rsidRPr="00BE1CE4">
        <w:rPr>
          <w:rFonts w:asciiTheme="minorHAnsi" w:hAnsiTheme="minorHAnsi" w:cstheme="minorHAnsi"/>
          <w:spacing w:val="-3"/>
          <w:sz w:val="22"/>
          <w:szCs w:val="22"/>
        </w:rPr>
        <w:t xml:space="preserve"> the allowable expenses claimed.  </w:t>
      </w:r>
    </w:p>
    <w:p w14:paraId="74A5695C" w14:textId="74073A5D" w:rsidR="005559D0" w:rsidRPr="00FF5152" w:rsidRDefault="005559D0" w:rsidP="00547B22">
      <w:pPr>
        <w:tabs>
          <w:tab w:val="left" w:pos="-72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1a</w:t>
      </w:r>
      <w:r w:rsidRPr="00FF5152">
        <w:rPr>
          <w:rFonts w:asciiTheme="minorHAnsi" w:hAnsiTheme="minorHAnsi" w:cstheme="minorHAnsi"/>
          <w:spacing w:val="-3"/>
          <w:sz w:val="20"/>
        </w:rPr>
        <w:t xml:space="preserve"> – This section must list </w:t>
      </w:r>
      <w:r w:rsidR="006D3BC6" w:rsidRPr="00FF5152">
        <w:rPr>
          <w:rFonts w:asciiTheme="minorHAnsi" w:hAnsiTheme="minorHAnsi" w:cstheme="minorHAnsi"/>
          <w:spacing w:val="-3"/>
          <w:sz w:val="20"/>
        </w:rPr>
        <w:t>all</w:t>
      </w:r>
      <w:r w:rsidRPr="00FF5152">
        <w:rPr>
          <w:rFonts w:asciiTheme="minorHAnsi" w:hAnsiTheme="minorHAnsi" w:cstheme="minorHAnsi"/>
          <w:spacing w:val="-3"/>
          <w:sz w:val="20"/>
        </w:rPr>
        <w:t xml:space="preserve"> the Massachusetts nursing and rest homes managed by this entity and the allocation of expenses </w:t>
      </w:r>
      <w:r w:rsidR="006D3BC6" w:rsidRPr="00FF5152">
        <w:rPr>
          <w:rFonts w:asciiTheme="minorHAnsi" w:hAnsiTheme="minorHAnsi" w:cstheme="minorHAnsi"/>
          <w:spacing w:val="-3"/>
          <w:sz w:val="20"/>
        </w:rPr>
        <w:t>whether</w:t>
      </w:r>
      <w:r w:rsidRPr="00FF5152">
        <w:rPr>
          <w:rFonts w:asciiTheme="minorHAnsi" w:hAnsiTheme="minorHAnsi" w:cstheme="minorHAnsi"/>
          <w:spacing w:val="-3"/>
          <w:sz w:val="20"/>
        </w:rPr>
        <w:t xml:space="preserve"> claimed on the nursing or rest homes’ respective </w:t>
      </w:r>
      <w:r w:rsidR="001355E3">
        <w:rPr>
          <w:rFonts w:asciiTheme="minorHAnsi" w:hAnsiTheme="minorHAnsi" w:cstheme="minorHAnsi"/>
          <w:spacing w:val="-3"/>
          <w:sz w:val="20"/>
        </w:rPr>
        <w:t>SNF-CR</w:t>
      </w:r>
      <w:r w:rsidRPr="00FF5152">
        <w:rPr>
          <w:rFonts w:asciiTheme="minorHAnsi" w:hAnsiTheme="minorHAnsi" w:cstheme="minorHAnsi"/>
          <w:spacing w:val="-3"/>
          <w:sz w:val="20"/>
        </w:rPr>
        <w:t xml:space="preserve"> or HCF-4’s. </w:t>
      </w:r>
    </w:p>
    <w:p w14:paraId="08C7D7A0" w14:textId="12B9C45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1b</w:t>
      </w:r>
      <w:r w:rsidRPr="00FF5152">
        <w:rPr>
          <w:rFonts w:asciiTheme="minorHAnsi" w:hAnsiTheme="minorHAnsi" w:cstheme="minorHAnsi"/>
          <w:spacing w:val="-3"/>
          <w:sz w:val="20"/>
        </w:rPr>
        <w:t xml:space="preserve"> – This section must include the allocation of claimed expenses to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managed by this entity reported in total.  A listing of the </w:t>
      </w:r>
      <w:r w:rsidR="006D3BC6" w:rsidRPr="00FF5152">
        <w:rPr>
          <w:rFonts w:asciiTheme="minorHAnsi" w:hAnsiTheme="minorHAnsi" w:cstheme="minorHAnsi"/>
          <w:spacing w:val="-3"/>
          <w:sz w:val="20"/>
        </w:rPr>
        <w:t>non-MA</w:t>
      </w:r>
      <w:r w:rsidRPr="00FF5152">
        <w:rPr>
          <w:rFonts w:asciiTheme="minorHAnsi" w:hAnsiTheme="minorHAnsi" w:cstheme="minorHAnsi"/>
          <w:spacing w:val="-3"/>
          <w:sz w:val="20"/>
        </w:rPr>
        <w:t xml:space="preserve"> facilities and the allocated costs must be attached to the HCF-3.</w:t>
      </w:r>
    </w:p>
    <w:p w14:paraId="75A7C97F"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Part 1c</w:t>
      </w:r>
      <w:r w:rsidRPr="00FF5152">
        <w:rPr>
          <w:rFonts w:asciiTheme="minorHAnsi" w:hAnsiTheme="minorHAnsi" w:cstheme="minorHAnsi"/>
          <w:spacing w:val="-3"/>
          <w:sz w:val="20"/>
        </w:rPr>
        <w:t xml:space="preserve"> – This section must include the allocation of claimed expenses to the other businesses managed by this entity reported in total.  A listing of the other businesses and the allocated costs must be attached.  The method used to allocate these expenses must be explained.</w:t>
      </w:r>
    </w:p>
    <w:p w14:paraId="40EA0C11"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u w:val="single"/>
        </w:rPr>
      </w:pPr>
    </w:p>
    <w:p w14:paraId="6DDDB6A0"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A</w:t>
      </w:r>
      <w:r w:rsidRPr="00FF5152">
        <w:rPr>
          <w:rFonts w:asciiTheme="minorHAnsi" w:hAnsiTheme="minorHAnsi" w:cstheme="minorHAnsi"/>
          <w:spacing w:val="-3"/>
          <w:sz w:val="20"/>
        </w:rPr>
        <w:t xml:space="preserve"> – This column is used to allocate the shared variable expenses to all nursing homes, rest homes and other businesses.</w:t>
      </w:r>
    </w:p>
    <w:p w14:paraId="6DB3F8C8" w14:textId="55B58EB0"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B</w:t>
      </w:r>
      <w:r w:rsidRPr="00FF5152">
        <w:rPr>
          <w:rFonts w:asciiTheme="minorHAnsi" w:hAnsiTheme="minorHAnsi" w:cstheme="minorHAnsi"/>
          <w:spacing w:val="-3"/>
          <w:sz w:val="20"/>
        </w:rPr>
        <w:t xml:space="preserve"> – This column is used if this entity allocated certain A &amp; G expenses directly to specific facilities.  An explanation must be provide</w:t>
      </w:r>
      <w:r w:rsidR="003B388F">
        <w:rPr>
          <w:rFonts w:asciiTheme="minorHAnsi" w:hAnsiTheme="minorHAnsi" w:cstheme="minorHAnsi"/>
          <w:spacing w:val="-3"/>
          <w:sz w:val="20"/>
        </w:rPr>
        <w:t>d</w:t>
      </w:r>
      <w:r w:rsidRPr="00FF5152">
        <w:rPr>
          <w:rFonts w:asciiTheme="minorHAnsi" w:hAnsiTheme="minorHAnsi" w:cstheme="minorHAnsi"/>
          <w:spacing w:val="-3"/>
          <w:sz w:val="20"/>
        </w:rPr>
        <w:t>.</w:t>
      </w:r>
    </w:p>
    <w:p w14:paraId="2C5BF6C9"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C</w:t>
      </w:r>
      <w:r w:rsidRPr="00FF5152">
        <w:rPr>
          <w:rFonts w:asciiTheme="minorHAnsi" w:hAnsiTheme="minorHAnsi" w:cstheme="minorHAnsi"/>
          <w:spacing w:val="-3"/>
          <w:sz w:val="20"/>
        </w:rPr>
        <w:t xml:space="preserve"> – This is the sum of columns A + B.  The sum of columns C + E must equal the HCF-3 </w:t>
      </w:r>
    </w:p>
    <w:p w14:paraId="5F1746AC"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rPr>
        <w:t>A &amp; G Allocated Add-back (9960.3) on the HCF-4.</w:t>
      </w:r>
    </w:p>
    <w:p w14:paraId="1AFF2388" w14:textId="5D8B4858"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lastRenderedPageBreak/>
        <w:t>Column D</w:t>
      </w:r>
      <w:r w:rsidRPr="00FF5152">
        <w:rPr>
          <w:rFonts w:asciiTheme="minorHAnsi" w:hAnsiTheme="minorHAnsi" w:cstheme="minorHAnsi"/>
          <w:spacing w:val="-3"/>
          <w:sz w:val="20"/>
        </w:rPr>
        <w:t xml:space="preserve"> – Administrator /Admin-in-Training Allocation - This column is carried forward from Part 4 of Schedule 10.  This column must equal the sum of Part 4, </w:t>
      </w:r>
      <w:proofErr w:type="gramStart"/>
      <w:r w:rsidR="006D3BC6" w:rsidRPr="00FF5152">
        <w:rPr>
          <w:rFonts w:asciiTheme="minorHAnsi" w:hAnsiTheme="minorHAnsi" w:cstheme="minorHAnsi"/>
          <w:spacing w:val="-3"/>
          <w:sz w:val="20"/>
        </w:rPr>
        <w:t>a and</w:t>
      </w:r>
      <w:proofErr w:type="gramEnd"/>
      <w:r w:rsidRPr="00FF5152">
        <w:rPr>
          <w:rFonts w:asciiTheme="minorHAnsi" w:hAnsiTheme="minorHAnsi" w:cstheme="minorHAnsi"/>
          <w:spacing w:val="-3"/>
          <w:sz w:val="20"/>
        </w:rPr>
        <w:t xml:space="preserve"> b.  The sum of Part 1, columns C + D must equal account 9302.5 on Schedule 2.</w:t>
      </w:r>
    </w:p>
    <w:p w14:paraId="4902D33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E</w:t>
      </w:r>
      <w:r w:rsidRPr="00FF5152">
        <w:rPr>
          <w:rFonts w:asciiTheme="minorHAnsi" w:hAnsiTheme="minorHAnsi" w:cstheme="minorHAnsi"/>
          <w:spacing w:val="-3"/>
          <w:sz w:val="20"/>
        </w:rPr>
        <w:t xml:space="preserve"> – The allocated HCF-2 Variable Cost Add-back is reported in this column.  This column must agree to account 9502.2 on Schedule 2.</w:t>
      </w:r>
    </w:p>
    <w:p w14:paraId="0C6E221A" w14:textId="7C1BF852"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F</w:t>
      </w:r>
      <w:r w:rsidRPr="00FF5152">
        <w:rPr>
          <w:rFonts w:asciiTheme="minorHAnsi" w:hAnsiTheme="minorHAnsi" w:cstheme="minorHAnsi"/>
          <w:spacing w:val="-3"/>
          <w:sz w:val="20"/>
        </w:rPr>
        <w:t xml:space="preserve"> – Variable Expense Allocations - This column is carried forward from Part 3 of Schedule 10.  This column must equal the sum of Part 3, a, </w:t>
      </w:r>
      <w:r w:rsidR="00D66F5B" w:rsidRPr="00FF5152">
        <w:rPr>
          <w:rFonts w:asciiTheme="minorHAnsi" w:hAnsiTheme="minorHAnsi" w:cstheme="minorHAnsi"/>
          <w:spacing w:val="-3"/>
          <w:sz w:val="20"/>
        </w:rPr>
        <w:t>b,</w:t>
      </w:r>
      <w:r w:rsidRPr="00FF5152">
        <w:rPr>
          <w:rFonts w:asciiTheme="minorHAnsi" w:hAnsiTheme="minorHAnsi" w:cstheme="minorHAnsi"/>
          <w:spacing w:val="-3"/>
          <w:sz w:val="20"/>
        </w:rPr>
        <w:t xml:space="preserve"> and c.  This column must agree to Account 9302.6 on Schedule 2.</w:t>
      </w:r>
    </w:p>
    <w:p w14:paraId="781F049A"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G</w:t>
      </w:r>
      <w:r w:rsidRPr="00FF5152">
        <w:rPr>
          <w:rFonts w:asciiTheme="minorHAnsi" w:hAnsiTheme="minorHAnsi" w:cstheme="minorHAnsi"/>
          <w:spacing w:val="-3"/>
          <w:sz w:val="20"/>
        </w:rPr>
        <w:t xml:space="preserve"> – Director of Nurses Allocation - This column is carried forward from Part 2 of Schedule 10.  This column must agree to Account 9302.8 on Schedule 2.</w:t>
      </w:r>
    </w:p>
    <w:p w14:paraId="59007AE2"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Column H</w:t>
      </w:r>
      <w:r w:rsidRPr="00FF5152">
        <w:rPr>
          <w:rFonts w:asciiTheme="minorHAnsi" w:hAnsiTheme="minorHAnsi" w:cstheme="minorHAnsi"/>
          <w:spacing w:val="-3"/>
          <w:sz w:val="20"/>
        </w:rPr>
        <w:t xml:space="preserve"> – This column is used to allocate the Fixed Expenses from Schedule 15.  This column must agree to account 9302.1 on Schedule 2.</w:t>
      </w:r>
    </w:p>
    <w:p w14:paraId="02772285" w14:textId="77777777" w:rsidR="005559D0" w:rsidRPr="00FF5152" w:rsidRDefault="005559D0" w:rsidP="00FF5152">
      <w:pPr>
        <w:tabs>
          <w:tab w:val="left" w:pos="-720"/>
          <w:tab w:val="left" w:pos="0"/>
        </w:tabs>
        <w:suppressAutoHyphens/>
        <w:ind w:left="360"/>
        <w:jc w:val="both"/>
        <w:rPr>
          <w:rFonts w:asciiTheme="minorHAnsi" w:hAnsiTheme="minorHAnsi" w:cstheme="minorHAnsi"/>
          <w:spacing w:val="-3"/>
          <w:sz w:val="20"/>
        </w:rPr>
      </w:pPr>
      <w:r w:rsidRPr="00FF5152">
        <w:rPr>
          <w:rFonts w:asciiTheme="minorHAnsi" w:hAnsiTheme="minorHAnsi" w:cstheme="minorHAnsi"/>
          <w:spacing w:val="-3"/>
          <w:sz w:val="20"/>
          <w:u w:val="single"/>
        </w:rPr>
        <w:t xml:space="preserve">Column I </w:t>
      </w:r>
      <w:r w:rsidRPr="00FF5152">
        <w:rPr>
          <w:rFonts w:asciiTheme="minorHAnsi" w:hAnsiTheme="minorHAnsi" w:cstheme="minorHAnsi"/>
          <w:spacing w:val="-3"/>
          <w:sz w:val="20"/>
        </w:rPr>
        <w:t>– Total Claimed Expenses - This is the sum of columns C + D + E + F + G + H.  This column must agree to account 9302.0 on Schedule 2.</w:t>
      </w:r>
    </w:p>
    <w:p w14:paraId="2F7409CE" w14:textId="77777777" w:rsidR="005559D0" w:rsidRPr="00BE1CE4" w:rsidRDefault="005559D0" w:rsidP="005559D0">
      <w:pPr>
        <w:tabs>
          <w:tab w:val="left" w:pos="-720"/>
          <w:tab w:val="left" w:pos="0"/>
        </w:tabs>
        <w:suppressAutoHyphens/>
        <w:ind w:left="576"/>
        <w:jc w:val="both"/>
        <w:rPr>
          <w:rFonts w:asciiTheme="minorHAnsi" w:hAnsiTheme="minorHAnsi" w:cstheme="minorHAnsi"/>
          <w:spacing w:val="-3"/>
          <w:sz w:val="22"/>
          <w:szCs w:val="22"/>
        </w:rPr>
      </w:pPr>
    </w:p>
    <w:p w14:paraId="11A8F43D"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2, Director of Nurses:</w:t>
      </w:r>
    </w:p>
    <w:p w14:paraId="19AE8ED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part should be completed if the management company/central office employs the Director of Nursing, who works directly on-site at the nursing home it manages.  Do not include the manager of the Director of Nursing or the person to whom the Director of Nursing reports.  The amount reflected in the total column must also be reported in Schedule 10, Part 1, Column G.</w:t>
      </w:r>
    </w:p>
    <w:p w14:paraId="58A9CCC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521DADE" w14:textId="69EE1FAC"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Part 3 (a) Dietitian and (b) Indirect Restorative </w:t>
      </w:r>
      <w:proofErr w:type="gramStart"/>
      <w:r w:rsidRPr="00BE1CE4">
        <w:rPr>
          <w:rFonts w:asciiTheme="minorHAnsi" w:hAnsiTheme="minorHAnsi" w:cstheme="minorHAnsi"/>
          <w:b/>
          <w:spacing w:val="-3"/>
          <w:sz w:val="22"/>
          <w:szCs w:val="22"/>
        </w:rPr>
        <w:t>Therapy  (</w:t>
      </w:r>
      <w:proofErr w:type="gramEnd"/>
      <w:r w:rsidRPr="00BE1CE4">
        <w:rPr>
          <w:rFonts w:asciiTheme="minorHAnsi" w:hAnsiTheme="minorHAnsi" w:cstheme="minorHAnsi"/>
          <w:b/>
          <w:spacing w:val="-3"/>
          <w:sz w:val="22"/>
          <w:szCs w:val="22"/>
        </w:rPr>
        <w:t>c) Quality Assurance Professional</w:t>
      </w:r>
      <w:proofErr w:type="gramStart"/>
      <w:r w:rsidRPr="00BE1CE4">
        <w:rPr>
          <w:rFonts w:asciiTheme="minorHAnsi" w:hAnsiTheme="minorHAnsi" w:cstheme="minorHAnsi"/>
          <w:b/>
          <w:spacing w:val="-3"/>
          <w:sz w:val="22"/>
          <w:szCs w:val="22"/>
        </w:rPr>
        <w:t>:</w:t>
      </w:r>
      <w:r w:rsidRPr="00BE1CE4">
        <w:rPr>
          <w:rFonts w:asciiTheme="minorHAnsi" w:hAnsiTheme="minorHAnsi" w:cstheme="minorHAnsi"/>
          <w:spacing w:val="-3"/>
          <w:sz w:val="22"/>
          <w:szCs w:val="22"/>
        </w:rPr>
        <w:t xml:space="preserve">  These</w:t>
      </w:r>
      <w:proofErr w:type="gramEnd"/>
      <w:r w:rsidRPr="00BE1CE4">
        <w:rPr>
          <w:rFonts w:asciiTheme="minorHAnsi" w:hAnsiTheme="minorHAnsi" w:cstheme="minorHAnsi"/>
          <w:spacing w:val="-3"/>
          <w:sz w:val="22"/>
          <w:szCs w:val="22"/>
        </w:rPr>
        <w:t xml:space="preserve"> parts should be completed if the management company/central office employs or contracts with a Dietitian, Restorative Therapist who performs </w:t>
      </w:r>
      <w:r w:rsidRPr="00BE1CE4">
        <w:rPr>
          <w:rFonts w:asciiTheme="minorHAnsi" w:hAnsiTheme="minorHAnsi" w:cstheme="minorHAnsi"/>
          <w:b/>
          <w:spacing w:val="-3"/>
          <w:sz w:val="22"/>
          <w:szCs w:val="22"/>
        </w:rPr>
        <w:t>indirect</w:t>
      </w:r>
      <w:r w:rsidRPr="00BE1CE4">
        <w:rPr>
          <w:rFonts w:asciiTheme="minorHAnsi" w:hAnsiTheme="minorHAnsi" w:cstheme="minorHAnsi"/>
          <w:spacing w:val="-3"/>
          <w:sz w:val="22"/>
          <w:szCs w:val="22"/>
        </w:rPr>
        <w:t xml:space="preserve"> services or Quality Assurance Professional who work on-site at the nursing or rest home.  Do not include the expense of the person who manages the Dietitian, Restorative Therapist, or Quality Assurance Professional or the person to whom they report. </w:t>
      </w:r>
      <w:r w:rsidRPr="00BE1CE4">
        <w:rPr>
          <w:rFonts w:asciiTheme="minorHAnsi" w:hAnsiTheme="minorHAnsi" w:cstheme="minorHAnsi"/>
          <w:b/>
          <w:spacing w:val="-3"/>
          <w:sz w:val="22"/>
          <w:szCs w:val="22"/>
        </w:rPr>
        <w:t>Do not</w:t>
      </w:r>
      <w:r w:rsidRPr="00BE1CE4">
        <w:rPr>
          <w:rFonts w:asciiTheme="minorHAnsi" w:hAnsiTheme="minorHAnsi" w:cstheme="minorHAnsi"/>
          <w:spacing w:val="-3"/>
          <w:sz w:val="22"/>
          <w:szCs w:val="22"/>
        </w:rPr>
        <w:t xml:space="preserve"> include the cost of any Restorative Therapist that performs </w:t>
      </w:r>
      <w:r w:rsidRPr="00BE1CE4">
        <w:rPr>
          <w:rFonts w:asciiTheme="minorHAnsi" w:hAnsiTheme="minorHAnsi" w:cstheme="minorHAnsi"/>
          <w:b/>
          <w:spacing w:val="-3"/>
          <w:sz w:val="22"/>
          <w:szCs w:val="22"/>
        </w:rPr>
        <w:t>direct</w:t>
      </w:r>
      <w:r w:rsidRPr="00BE1CE4">
        <w:rPr>
          <w:rFonts w:asciiTheme="minorHAnsi" w:hAnsiTheme="minorHAnsi" w:cstheme="minorHAnsi"/>
          <w:spacing w:val="-3"/>
          <w:sz w:val="22"/>
          <w:szCs w:val="22"/>
        </w:rPr>
        <w:t xml:space="preserve"> services.  The sum of the total columns in Part 3, a, </w:t>
      </w:r>
      <w:r w:rsidR="00D66F5B" w:rsidRPr="00BE1CE4">
        <w:rPr>
          <w:rFonts w:asciiTheme="minorHAnsi" w:hAnsiTheme="minorHAnsi" w:cstheme="minorHAnsi"/>
          <w:spacing w:val="-3"/>
          <w:sz w:val="22"/>
          <w:szCs w:val="22"/>
        </w:rPr>
        <w:t>b,</w:t>
      </w:r>
      <w:r w:rsidRPr="00BE1CE4">
        <w:rPr>
          <w:rFonts w:asciiTheme="minorHAnsi" w:hAnsiTheme="minorHAnsi" w:cstheme="minorHAnsi"/>
          <w:spacing w:val="-3"/>
          <w:sz w:val="22"/>
          <w:szCs w:val="22"/>
        </w:rPr>
        <w:t xml:space="preserve"> and c must also be reported in Schedule 10, Part 1, column F.</w:t>
      </w:r>
    </w:p>
    <w:p w14:paraId="7ED631B0"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A3D323B" w14:textId="2F5ECD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Part 4, (a)</w:t>
      </w:r>
      <w:r w:rsidR="00E7493E">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rPr>
        <w:t>Administrator-in-Training and (b) Administrator:</w:t>
      </w:r>
    </w:p>
    <w:p w14:paraId="37DDD4DB" w14:textId="59BBDD50" w:rsidR="005559D0" w:rsidRPr="00BE1CE4" w:rsidRDefault="005559D0" w:rsidP="009213F8">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This part should be completed if the management company/central office employs the Administrator-in-Training or Administrator, who works directly on-site at the nursing home it manages.  Do not include </w:t>
      </w:r>
    </w:p>
    <w:p w14:paraId="543B944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manager of these positions or the person to whom they report.  The sum of the total columns in Part 4, a and b must also be reported in Schedule 10, Part 1, Column D.</w:t>
      </w:r>
    </w:p>
    <w:p w14:paraId="0CB41C8C"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74B7D589"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13: Detail of Automatically Disallowed Expenses</w:t>
      </w:r>
    </w:p>
    <w:p w14:paraId="4B87EF31" w14:textId="77777777"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Automatically Disallowed Expenses are expenses that are considered non-allowable for reimbursement purposes. This schedule begins the process of converting the report to a claim for reimbursement.  </w:t>
      </w:r>
    </w:p>
    <w:p w14:paraId="38EFFF8C" w14:textId="39D800E9" w:rsidR="005559D0" w:rsidRPr="00BE1CE4" w:rsidRDefault="005559D0" w:rsidP="005559D0">
      <w:pPr>
        <w:tabs>
          <w:tab w:val="left" w:pos="-720"/>
        </w:tabs>
        <w:suppressAutoHyphens/>
        <w:ind w:left="36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Providers must enter all reported values from each automatically disallowed (“N”) account in Schedule 2: The Profit and Loss Statement on the designated lines in Schedule 13.  If the provider has nothing to report, then "not applicable: N/A" should be written and the total account 9301.4 set equal to zero. Once completed, the Total Automatic Disallowed Expenses, in Schedule 13 account 9301.4 must also be reported in the same account in Schedule 2: The Statement of Profit and Loss under the “Non-Allowable Expenses by Type” section of the Summary of Expenses.</w:t>
      </w:r>
    </w:p>
    <w:p w14:paraId="6A2B620B"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D5D2514"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14: Detail of Self Disallowed Expenses:  </w:t>
      </w:r>
    </w:p>
    <w:p w14:paraId="19642505" w14:textId="77777777" w:rsidR="005559D0" w:rsidRPr="00BE1CE4" w:rsidRDefault="005559D0" w:rsidP="005559D0">
      <w:pPr>
        <w:tabs>
          <w:tab w:val="left" w:pos="-720"/>
        </w:tabs>
        <w:suppressAutoHyphens/>
        <w:ind w:left="360"/>
        <w:jc w:val="both"/>
        <w:rPr>
          <w:rFonts w:asciiTheme="minorHAnsi" w:hAnsiTheme="minorHAnsi" w:cstheme="minorHAnsi"/>
          <w:sz w:val="22"/>
          <w:szCs w:val="22"/>
        </w:rPr>
      </w:pPr>
      <w:r w:rsidRPr="00BE1CE4">
        <w:rPr>
          <w:rFonts w:asciiTheme="minorHAnsi" w:hAnsiTheme="minorHAnsi" w:cstheme="minorHAnsi"/>
          <w:sz w:val="22"/>
          <w:szCs w:val="22"/>
        </w:rPr>
        <w:t xml:space="preserve">This schedule segregates the A &amp; G and Variable Expenses.  The Total A &amp; G (9301.5), Total Variable (9301.6), Total Director of Nurses (9301.8) and Total Fixed Expenses (9301.1) must be carried forward to Schedule 2. </w:t>
      </w:r>
    </w:p>
    <w:p w14:paraId="31ECDF7F" w14:textId="77777777" w:rsidR="005559D0" w:rsidRPr="00BE1CE4" w:rsidRDefault="005559D0" w:rsidP="005559D0">
      <w:pPr>
        <w:tabs>
          <w:tab w:val="left" w:pos="-720"/>
        </w:tabs>
        <w:suppressAutoHyphens/>
        <w:ind w:left="288"/>
        <w:jc w:val="both"/>
        <w:rPr>
          <w:rFonts w:asciiTheme="minorHAnsi" w:hAnsiTheme="minorHAnsi" w:cstheme="minorHAnsi"/>
          <w:sz w:val="22"/>
          <w:szCs w:val="22"/>
        </w:rPr>
      </w:pPr>
    </w:p>
    <w:p w14:paraId="6746EB3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lastRenderedPageBreak/>
        <w:t xml:space="preserve">This schedule requires the provider to adjust all expenses not automatically disallowed that are not reimbursable under 101 CMR 204.00 or 101 CMR 206.00 including any recoverable income that needs to be offset against claimed expenses.  </w:t>
      </w:r>
      <w:r w:rsidRPr="00BE1CE4">
        <w:rPr>
          <w:rFonts w:asciiTheme="minorHAnsi" w:hAnsiTheme="minorHAnsi" w:cstheme="minorHAnsi"/>
          <w:b/>
          <w:spacing w:val="-3"/>
          <w:sz w:val="22"/>
          <w:szCs w:val="22"/>
        </w:rPr>
        <w:t>Negative amounts should only be reported to disallow expense accounts with a negative value or to claim additional Fixed Costs</w:t>
      </w:r>
      <w:r w:rsidRPr="00BE1CE4">
        <w:rPr>
          <w:rFonts w:asciiTheme="minorHAnsi" w:hAnsiTheme="minorHAnsi" w:cstheme="minorHAnsi"/>
          <w:spacing w:val="-3"/>
          <w:sz w:val="22"/>
          <w:szCs w:val="22"/>
        </w:rPr>
        <w:t xml:space="preserve">.  </w:t>
      </w:r>
      <w:r w:rsidRPr="00BE1CE4">
        <w:rPr>
          <w:rFonts w:asciiTheme="minorHAnsi" w:hAnsiTheme="minorHAnsi" w:cstheme="minorHAnsi"/>
          <w:b/>
          <w:spacing w:val="-3"/>
          <w:sz w:val="22"/>
          <w:szCs w:val="22"/>
          <w:u w:val="single"/>
        </w:rPr>
        <w:t>Do</w:t>
      </w:r>
      <w:r w:rsidRPr="00BE1CE4">
        <w:rPr>
          <w:rFonts w:asciiTheme="minorHAnsi" w:hAnsiTheme="minorHAnsi" w:cstheme="minorHAnsi"/>
          <w:b/>
          <w:spacing w:val="-3"/>
          <w:sz w:val="22"/>
          <w:szCs w:val="22"/>
        </w:rPr>
        <w:t xml:space="preserve"> </w:t>
      </w:r>
      <w:r w:rsidRPr="00BE1CE4">
        <w:rPr>
          <w:rFonts w:asciiTheme="minorHAnsi" w:hAnsiTheme="minorHAnsi" w:cstheme="minorHAnsi"/>
          <w:b/>
          <w:spacing w:val="-3"/>
          <w:sz w:val="22"/>
          <w:szCs w:val="22"/>
          <w:u w:val="single"/>
        </w:rPr>
        <w:t>not</w:t>
      </w:r>
      <w:r w:rsidRPr="00BE1CE4">
        <w:rPr>
          <w:rFonts w:asciiTheme="minorHAnsi" w:hAnsiTheme="minorHAnsi" w:cstheme="minorHAnsi"/>
          <w:b/>
          <w:spacing w:val="-3"/>
          <w:sz w:val="22"/>
          <w:szCs w:val="22"/>
        </w:rPr>
        <w:t xml:space="preserve"> use this schedule to </w:t>
      </w:r>
      <w:proofErr w:type="gramStart"/>
      <w:r w:rsidRPr="00BE1CE4">
        <w:rPr>
          <w:rFonts w:asciiTheme="minorHAnsi" w:hAnsiTheme="minorHAnsi" w:cstheme="minorHAnsi"/>
          <w:b/>
          <w:spacing w:val="-3"/>
          <w:sz w:val="22"/>
          <w:szCs w:val="22"/>
        </w:rPr>
        <w:t>add-back</w:t>
      </w:r>
      <w:proofErr w:type="gramEnd"/>
      <w:r w:rsidRPr="00BE1CE4">
        <w:rPr>
          <w:rFonts w:asciiTheme="minorHAnsi" w:hAnsiTheme="minorHAnsi" w:cstheme="minorHAnsi"/>
          <w:b/>
          <w:spacing w:val="-3"/>
          <w:sz w:val="22"/>
          <w:szCs w:val="22"/>
        </w:rPr>
        <w:t xml:space="preserve"> expenses from regional offices or additional management companies.</w:t>
      </w:r>
    </w:p>
    <w:p w14:paraId="26B9B1C3" w14:textId="77777777" w:rsidR="005559D0" w:rsidRPr="00BE1CE4" w:rsidRDefault="005559D0" w:rsidP="005559D0">
      <w:pPr>
        <w:tabs>
          <w:tab w:val="left" w:pos="-720"/>
        </w:tabs>
        <w:suppressAutoHyphens/>
        <w:ind w:left="1008" w:hanging="720"/>
        <w:jc w:val="both"/>
        <w:rPr>
          <w:rFonts w:asciiTheme="minorHAnsi" w:hAnsiTheme="minorHAnsi" w:cstheme="minorHAnsi"/>
          <w:b/>
          <w:spacing w:val="-3"/>
          <w:sz w:val="22"/>
          <w:szCs w:val="22"/>
        </w:rPr>
      </w:pPr>
    </w:p>
    <w:p w14:paraId="3CE53C17" w14:textId="2943BF60" w:rsidR="005559D0" w:rsidRPr="00BE1CE4" w:rsidRDefault="005559D0" w:rsidP="005559D0">
      <w:pPr>
        <w:tabs>
          <w:tab w:val="left" w:pos="-720"/>
        </w:tabs>
        <w:suppressAutoHyphens/>
        <w:ind w:left="1008" w:hanging="720"/>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9301.1</w:t>
      </w:r>
      <w:r w:rsidRPr="00BE1CE4">
        <w:rPr>
          <w:rFonts w:asciiTheme="minorHAnsi" w:hAnsiTheme="minorHAnsi" w:cstheme="minorHAnsi"/>
          <w:spacing w:val="-3"/>
          <w:sz w:val="22"/>
          <w:szCs w:val="22"/>
        </w:rPr>
        <w:t xml:space="preserve"> For each expense account, the </w:t>
      </w:r>
      <w:r w:rsidR="006D3BC6" w:rsidRPr="00BE1CE4">
        <w:rPr>
          <w:rFonts w:asciiTheme="minorHAnsi" w:hAnsiTheme="minorHAnsi" w:cstheme="minorHAnsi"/>
          <w:spacing w:val="-3"/>
          <w:sz w:val="22"/>
          <w:szCs w:val="22"/>
        </w:rPr>
        <w:t>self-disallowed</w:t>
      </w:r>
      <w:r w:rsidRPr="00BE1CE4">
        <w:rPr>
          <w:rFonts w:asciiTheme="minorHAnsi" w:hAnsiTheme="minorHAnsi" w:cstheme="minorHAnsi"/>
          <w:spacing w:val="-3"/>
          <w:sz w:val="22"/>
          <w:szCs w:val="22"/>
        </w:rPr>
        <w:t xml:space="preserve"> amount is the difference between the gross reported expense in </w:t>
      </w:r>
      <w:proofErr w:type="gramStart"/>
      <w:r w:rsidRPr="00BE1CE4">
        <w:rPr>
          <w:rFonts w:asciiTheme="minorHAnsi" w:hAnsiTheme="minorHAnsi" w:cstheme="minorHAnsi"/>
          <w:spacing w:val="-3"/>
          <w:sz w:val="22"/>
          <w:szCs w:val="22"/>
        </w:rPr>
        <w:t>the Schedule</w:t>
      </w:r>
      <w:proofErr w:type="gramEnd"/>
      <w:r w:rsidRPr="00BE1CE4">
        <w:rPr>
          <w:rFonts w:asciiTheme="minorHAnsi" w:hAnsiTheme="minorHAnsi" w:cstheme="minorHAnsi"/>
          <w:spacing w:val="-3"/>
          <w:sz w:val="22"/>
          <w:szCs w:val="22"/>
        </w:rPr>
        <w:t xml:space="preserve"> 2, Statement of Profit and Loss, and the claimed amount in Schedule 15, Detail of Claimed Fixed Costs.  For example, if the amount reported in account 9386.8, building depreciation is $10,000 and the claimed amount of building depreciation on Schedule 15 is $5,200, the amount reported in Schedule 14 for account 9386.8 should be $4,800. If the amount reported in account 9387.8 is $0 in Schedule 2, and the amount reported on </w:t>
      </w:r>
      <w:r w:rsidRPr="00BE1CE4">
        <w:rPr>
          <w:rFonts w:asciiTheme="minorHAnsi" w:hAnsiTheme="minorHAnsi" w:cstheme="minorHAnsi"/>
          <w:spacing w:val="-3"/>
          <w:sz w:val="22"/>
          <w:szCs w:val="22"/>
        </w:rPr>
        <w:tab/>
        <w:t xml:space="preserve"> Schedule 15 is $1,200, the amount reported on Schedule 14 for account 9387.8 should be ($1,200).</w:t>
      </w:r>
    </w:p>
    <w:p w14:paraId="413F0550"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9BBA86D"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14a: Narrative for Detail of Self Disallowed Expenses</w:t>
      </w:r>
    </w:p>
    <w:p w14:paraId="1F3939B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 narrative describing and explaining the method or basis used to determine the self-disallowed amounts reported in Scheduled 14: Detail of Self-Disallowed Expenses must be provided on this page.</w:t>
      </w:r>
    </w:p>
    <w:p w14:paraId="7166D17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107F2C89" w14:textId="77777777" w:rsidR="005559D0" w:rsidRPr="00BE1CE4" w:rsidRDefault="005559D0" w:rsidP="005559D0">
      <w:pPr>
        <w:tabs>
          <w:tab w:val="left" w:pos="-720"/>
        </w:tabs>
        <w:suppressAutoHyphens/>
        <w:ind w:left="288" w:hanging="288"/>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15: Detail of Claimed Fixed Costs</w:t>
      </w:r>
    </w:p>
    <w:p w14:paraId="326506C3" w14:textId="55B5290D"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Since reported fixed costs are automatically disallowed, this schedule requires the provider to restore </w:t>
      </w:r>
      <w:r w:rsidRPr="00BE1CE4">
        <w:rPr>
          <w:rFonts w:asciiTheme="minorHAnsi" w:hAnsiTheme="minorHAnsi" w:cstheme="minorHAnsi"/>
          <w:b/>
          <w:spacing w:val="-3"/>
          <w:sz w:val="22"/>
          <w:szCs w:val="22"/>
        </w:rPr>
        <w:t>only the allowable fixed costs</w:t>
      </w:r>
      <w:r w:rsidRPr="00BE1CE4">
        <w:rPr>
          <w:rFonts w:asciiTheme="minorHAnsi" w:hAnsiTheme="minorHAnsi" w:cstheme="minorHAnsi"/>
          <w:spacing w:val="-3"/>
          <w:sz w:val="22"/>
          <w:szCs w:val="22"/>
        </w:rPr>
        <w:t xml:space="preserve"> to the claim.  Great care should be taken with this schedule since this is the basis of your fixed cost reimbursement. Errors and </w:t>
      </w:r>
      <w:proofErr w:type="gramStart"/>
      <w:r w:rsidRPr="00BE1CE4">
        <w:rPr>
          <w:rFonts w:asciiTheme="minorHAnsi" w:hAnsiTheme="minorHAnsi" w:cstheme="minorHAnsi"/>
          <w:spacing w:val="-3"/>
          <w:sz w:val="22"/>
          <w:szCs w:val="22"/>
        </w:rPr>
        <w:t>omissions</w:t>
      </w:r>
      <w:proofErr w:type="gramEnd"/>
      <w:r w:rsidRPr="00BE1CE4">
        <w:rPr>
          <w:rFonts w:asciiTheme="minorHAnsi" w:hAnsiTheme="minorHAnsi" w:cstheme="minorHAnsi"/>
          <w:spacing w:val="-3"/>
          <w:sz w:val="22"/>
          <w:szCs w:val="22"/>
        </w:rPr>
        <w:t xml:space="preserve"> on this schedule cause serious delays in computing rates.  The allowable basis is seldom the same as actual cost; carefully review the provisions of 101 CMR 204.00.  The starting point of this schedule should be your ending allowable basis from the previous year.  Be sure to reflect the additions and deletions previously reported. Your claim for long-term interest including related period </w:t>
      </w:r>
      <w:proofErr w:type="gramStart"/>
      <w:r w:rsidRPr="00BE1CE4">
        <w:rPr>
          <w:rFonts w:asciiTheme="minorHAnsi" w:hAnsiTheme="minorHAnsi" w:cstheme="minorHAnsi"/>
          <w:spacing w:val="-3"/>
          <w:sz w:val="22"/>
          <w:szCs w:val="22"/>
        </w:rPr>
        <w:t>expense</w:t>
      </w:r>
      <w:proofErr w:type="gramEnd"/>
      <w:r w:rsidRPr="00BE1CE4">
        <w:rPr>
          <w:rFonts w:asciiTheme="minorHAnsi" w:hAnsiTheme="minorHAnsi" w:cstheme="minorHAnsi"/>
          <w:spacing w:val="-3"/>
          <w:sz w:val="22"/>
          <w:szCs w:val="22"/>
        </w:rPr>
        <w:t xml:space="preserve"> such as service fees, mortgage insurance, etc. as well as any new allowable </w:t>
      </w:r>
      <w:r w:rsidR="006D3BC6"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should reflect all permanent factors calculated on your existing debt as well as any new </w:t>
      </w:r>
      <w:r w:rsidR="00EF5171" w:rsidRPr="00BE1CE4">
        <w:rPr>
          <w:rFonts w:asciiTheme="minorHAnsi" w:hAnsiTheme="minorHAnsi" w:cstheme="minorHAnsi"/>
          <w:spacing w:val="-3"/>
          <w:sz w:val="22"/>
          <w:szCs w:val="22"/>
        </w:rPr>
        <w:t>Long-Term</w:t>
      </w:r>
      <w:r w:rsidRPr="00BE1CE4">
        <w:rPr>
          <w:rFonts w:asciiTheme="minorHAnsi" w:hAnsiTheme="minorHAnsi" w:cstheme="minorHAnsi"/>
          <w:spacing w:val="-3"/>
          <w:sz w:val="22"/>
          <w:szCs w:val="22"/>
        </w:rPr>
        <w:t xml:space="preserve"> Debt.  Make complete disclosure of your allocation methodology to arrive at the amounts attributable to </w:t>
      </w:r>
      <w:proofErr w:type="gramStart"/>
      <w:r w:rsidRPr="00BE1CE4">
        <w:rPr>
          <w:rFonts w:asciiTheme="minorHAnsi" w:hAnsiTheme="minorHAnsi" w:cstheme="minorHAnsi"/>
          <w:spacing w:val="-3"/>
          <w:sz w:val="22"/>
          <w:szCs w:val="22"/>
        </w:rPr>
        <w:t>the Massachusetts</w:t>
      </w:r>
      <w:proofErr w:type="gramEnd"/>
      <w:r w:rsidRPr="00BE1CE4">
        <w:rPr>
          <w:rFonts w:asciiTheme="minorHAnsi" w:hAnsiTheme="minorHAnsi" w:cstheme="minorHAnsi"/>
          <w:spacing w:val="-3"/>
          <w:sz w:val="22"/>
          <w:szCs w:val="22"/>
        </w:rPr>
        <w:t>’ Nursing Facilities and Rest Homes and calculations supporting the permanent factor(s) of your new debt in the Footnotes and Explanations section. The claimed fixed costs in Schedule 15 must reconcile with total claimed fixed costs in Schedule 10, Part H.</w:t>
      </w:r>
    </w:p>
    <w:p w14:paraId="68C1386F" w14:textId="77777777" w:rsidR="005559D0" w:rsidRPr="00BE1CE4" w:rsidRDefault="005559D0" w:rsidP="005559D0">
      <w:pPr>
        <w:tabs>
          <w:tab w:val="left" w:pos="-720"/>
        </w:tabs>
        <w:suppressAutoHyphens/>
        <w:ind w:left="288"/>
        <w:jc w:val="both"/>
        <w:rPr>
          <w:rFonts w:asciiTheme="minorHAnsi" w:hAnsiTheme="minorHAnsi" w:cstheme="minorHAnsi"/>
          <w:b/>
          <w:spacing w:val="-3"/>
          <w:sz w:val="22"/>
          <w:szCs w:val="22"/>
        </w:rPr>
      </w:pPr>
    </w:p>
    <w:p w14:paraId="579EF31C"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16: Detail of Clerical Expenses</w:t>
      </w:r>
    </w:p>
    <w:p w14:paraId="07E14B86"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clerical services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If the </w:t>
      </w:r>
      <w:proofErr w:type="gramStart"/>
      <w:r w:rsidRPr="00BE1CE4">
        <w:rPr>
          <w:rFonts w:asciiTheme="minorHAnsi" w:hAnsiTheme="minorHAnsi" w:cstheme="minorHAnsi"/>
          <w:spacing w:val="-3"/>
          <w:sz w:val="22"/>
          <w:szCs w:val="22"/>
        </w:rPr>
        <w:t>detail</w:t>
      </w:r>
      <w:proofErr w:type="gramEnd"/>
      <w:r w:rsidRPr="00BE1CE4">
        <w:rPr>
          <w:rFonts w:asciiTheme="minorHAnsi" w:hAnsiTheme="minorHAnsi" w:cstheme="minorHAnsi"/>
          <w:spacing w:val="-3"/>
          <w:sz w:val="22"/>
          <w:szCs w:val="22"/>
        </w:rPr>
        <w:t xml:space="preserve"> provided here does not equal account 9321.1, the report will be returned to the provider.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  </w:t>
      </w:r>
      <w:r w:rsidRPr="00BE1CE4">
        <w:rPr>
          <w:rFonts w:asciiTheme="minorHAnsi" w:hAnsiTheme="minorHAnsi" w:cstheme="minorHAnsi"/>
          <w:sz w:val="22"/>
          <w:szCs w:val="22"/>
        </w:rPr>
        <w:t xml:space="preserve">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691AF8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4AC3942A"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17: Detail of Administration Salaries Expense</w:t>
      </w:r>
    </w:p>
    <w:p w14:paraId="4C17DE62" w14:textId="77777777" w:rsidR="005559D0" w:rsidRPr="00BE1CE4" w:rsidRDefault="005559D0" w:rsidP="005559D0">
      <w:pPr>
        <w:ind w:left="288"/>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expenses for administration salaries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If the </w:t>
      </w:r>
      <w:proofErr w:type="gramStart"/>
      <w:r w:rsidRPr="00BE1CE4">
        <w:rPr>
          <w:rFonts w:asciiTheme="minorHAnsi" w:hAnsiTheme="minorHAnsi" w:cstheme="minorHAnsi"/>
          <w:spacing w:val="-3"/>
          <w:sz w:val="22"/>
          <w:szCs w:val="22"/>
        </w:rPr>
        <w:t>detail</w:t>
      </w:r>
      <w:proofErr w:type="gramEnd"/>
      <w:r w:rsidRPr="00BE1CE4">
        <w:rPr>
          <w:rFonts w:asciiTheme="minorHAnsi" w:hAnsiTheme="minorHAnsi" w:cstheme="minorHAnsi"/>
          <w:spacing w:val="-3"/>
          <w:sz w:val="22"/>
          <w:szCs w:val="22"/>
        </w:rPr>
        <w:t xml:space="preserve"> provided here does not equal account 9312.1, the report will be returned to the provider.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  </w:t>
      </w:r>
      <w:r w:rsidRPr="00BE1CE4">
        <w:rPr>
          <w:rFonts w:asciiTheme="minorHAnsi" w:hAnsiTheme="minorHAnsi" w:cstheme="minorHAnsi"/>
          <w:sz w:val="22"/>
          <w:szCs w:val="22"/>
        </w:rPr>
        <w:t xml:space="preserve">This information must be submitted at the time of the </w:t>
      </w:r>
      <w:proofErr w:type="gramStart"/>
      <w:r w:rsidRPr="00BE1CE4">
        <w:rPr>
          <w:rFonts w:asciiTheme="minorHAnsi" w:hAnsiTheme="minorHAnsi" w:cstheme="minorHAnsi"/>
          <w:sz w:val="22"/>
          <w:szCs w:val="22"/>
        </w:rPr>
        <w:t>cost report filing</w:t>
      </w:r>
      <w:proofErr w:type="gramEnd"/>
      <w:r w:rsidRPr="00BE1CE4">
        <w:rPr>
          <w:rFonts w:asciiTheme="minorHAnsi" w:hAnsiTheme="minorHAnsi" w:cstheme="minorHAnsi"/>
          <w:sz w:val="22"/>
          <w:szCs w:val="22"/>
        </w:rPr>
        <w:t>.</w:t>
      </w:r>
    </w:p>
    <w:p w14:paraId="4ABB283F"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0903E024"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b/>
          <w:spacing w:val="-3"/>
          <w:sz w:val="22"/>
          <w:szCs w:val="22"/>
        </w:rPr>
        <w:t xml:space="preserve">19: Detail of Other Administrative Cost </w:t>
      </w:r>
    </w:p>
    <w:p w14:paraId="74BA8417"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Other Administrative Costs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326A5D5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358BBD8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20: Detail of General Insurance </w:t>
      </w:r>
    </w:p>
    <w:p w14:paraId="4CF2C59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General Insurance must be detailed </w:t>
      </w:r>
      <w:proofErr w:type="gramStart"/>
      <w:r w:rsidRPr="00BE1CE4">
        <w:rPr>
          <w:rFonts w:asciiTheme="minorHAnsi" w:hAnsiTheme="minorHAnsi" w:cstheme="minorHAnsi"/>
          <w:spacing w:val="-3"/>
          <w:sz w:val="22"/>
          <w:szCs w:val="22"/>
        </w:rPr>
        <w:t>on</w:t>
      </w:r>
      <w:proofErr w:type="gramEnd"/>
      <w:r w:rsidRPr="00BE1CE4">
        <w:rPr>
          <w:rFonts w:asciiTheme="minorHAnsi" w:hAnsiTheme="minorHAnsi" w:cstheme="minorHAnsi"/>
          <w:spacing w:val="-3"/>
          <w:sz w:val="22"/>
          <w:szCs w:val="22"/>
        </w:rPr>
        <w:t xml:space="preserve">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18936B75"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6A8E180E"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21: Detail of Miscellaneous Expense </w:t>
      </w:r>
    </w:p>
    <w:p w14:paraId="683DC5E6" w14:textId="2478121F"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Miscellaneous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24DDE937"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7048A298"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22: Detail of Other Property Costs </w:t>
      </w:r>
    </w:p>
    <w:p w14:paraId="2D92833A" w14:textId="73C976AE"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The total expense for Other Property Cost must be detailed on this schedule. The total amount in this detail must </w:t>
      </w:r>
      <w:proofErr w:type="gramStart"/>
      <w:r w:rsidRPr="00BE1CE4">
        <w:rPr>
          <w:rFonts w:asciiTheme="minorHAnsi" w:hAnsiTheme="minorHAnsi" w:cstheme="minorHAnsi"/>
          <w:spacing w:val="-3"/>
          <w:sz w:val="22"/>
          <w:szCs w:val="22"/>
        </w:rPr>
        <w:t>reconcile</w:t>
      </w:r>
      <w:proofErr w:type="gramEnd"/>
      <w:r w:rsidRPr="00BE1CE4">
        <w:rPr>
          <w:rFonts w:asciiTheme="minorHAnsi" w:hAnsiTheme="minorHAnsi" w:cstheme="minorHAnsi"/>
          <w:spacing w:val="-3"/>
          <w:sz w:val="22"/>
          <w:szCs w:val="22"/>
        </w:rPr>
        <w:t xml:space="preserve"> with the same account in Schedule 2: Statement of Profit and Loss.</w:t>
      </w:r>
    </w:p>
    <w:p w14:paraId="68C11206" w14:textId="77777777" w:rsidR="005559D0" w:rsidRPr="00BE1CE4" w:rsidRDefault="005559D0" w:rsidP="005559D0">
      <w:pPr>
        <w:tabs>
          <w:tab w:val="left" w:pos="-720"/>
        </w:tabs>
        <w:suppressAutoHyphens/>
        <w:jc w:val="both"/>
        <w:rPr>
          <w:rFonts w:asciiTheme="minorHAnsi" w:hAnsiTheme="minorHAnsi" w:cstheme="minorHAnsi"/>
          <w:spacing w:val="-3"/>
          <w:sz w:val="22"/>
          <w:szCs w:val="22"/>
        </w:rPr>
      </w:pPr>
    </w:p>
    <w:p w14:paraId="51DD54BC"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23: Organizational Structure </w:t>
      </w:r>
    </w:p>
    <w:p w14:paraId="6849822A" w14:textId="380AA213" w:rsidR="005559D0" w:rsidRPr="00BE1CE4" w:rsidRDefault="005559D0" w:rsidP="00E038AC">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All management companies must complete this schedule.  All documentation supporting the response must be available upon request by the Center. </w:t>
      </w:r>
    </w:p>
    <w:p w14:paraId="67136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Please read the EXAMPLE response below before preparing your answer.</w:t>
      </w:r>
    </w:p>
    <w:p w14:paraId="6DBE0D8B"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p>
    <w:p w14:paraId="2F1A8742" w14:textId="77777777" w:rsidR="005559D0" w:rsidRPr="00BE1CE4" w:rsidRDefault="005559D0" w:rsidP="005559D0">
      <w:pPr>
        <w:tabs>
          <w:tab w:val="left" w:pos="-72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 xml:space="preserve">24: Additional Information </w:t>
      </w:r>
    </w:p>
    <w:p w14:paraId="27C3A8E6"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A brief historical time-line narrative including background, company inception and other notable structural change dates must be provided on this schedule.  This schedule is required of all management companies. </w:t>
      </w:r>
    </w:p>
    <w:p w14:paraId="183342B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192508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528F94D" w14:textId="77777777" w:rsidR="005559D0" w:rsidRPr="00BE1CE4" w:rsidRDefault="005559D0" w:rsidP="005559D0">
      <w:pPr>
        <w:tabs>
          <w:tab w:val="center" w:pos="4680"/>
        </w:tabs>
        <w:suppressAutoHyphens/>
        <w:jc w:val="both"/>
        <w:rPr>
          <w:rFonts w:asciiTheme="minorHAnsi" w:hAnsiTheme="minorHAnsi" w:cstheme="minorHAnsi"/>
          <w:b/>
          <w:spacing w:val="-3"/>
          <w:sz w:val="22"/>
          <w:szCs w:val="22"/>
        </w:rPr>
      </w:pPr>
      <w:r w:rsidRPr="00BE1CE4">
        <w:rPr>
          <w:rFonts w:asciiTheme="minorHAnsi" w:hAnsiTheme="minorHAnsi" w:cstheme="minorHAnsi"/>
          <w:b/>
          <w:spacing w:val="-3"/>
          <w:sz w:val="22"/>
          <w:szCs w:val="22"/>
        </w:rPr>
        <w:tab/>
        <w:t>EXAMPLE RESPONSE TO SCHEDULE 23</w:t>
      </w:r>
    </w:p>
    <w:p w14:paraId="6FF0F522"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1 &amp; 2:</w:t>
      </w:r>
    </w:p>
    <w:p w14:paraId="09F90FD1"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The provider should attach a copy of the Organization Chart.</w:t>
      </w:r>
    </w:p>
    <w:p w14:paraId="32E07F25"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97A8D73"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Response to Part 3.</w:t>
      </w:r>
    </w:p>
    <w:p w14:paraId="1D915AE8"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No costs are allocated down to ABC Company from the Parent/Owner Corporation.</w:t>
      </w:r>
    </w:p>
    <w:p w14:paraId="6C593FDC"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6C63E813" w14:textId="3123D97A" w:rsidR="005559D0" w:rsidRPr="006D3BC6"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6D3BC6">
        <w:rPr>
          <w:rFonts w:asciiTheme="minorHAnsi" w:hAnsiTheme="minorHAnsi" w:cstheme="minorHAnsi"/>
          <w:spacing w:val="-3"/>
          <w:sz w:val="22"/>
          <w:szCs w:val="22"/>
        </w:rPr>
        <w:t xml:space="preserve">ABC Company consists of three </w:t>
      </w:r>
      <w:r w:rsidR="006D3BC6" w:rsidRPr="006D3BC6">
        <w:rPr>
          <w:rFonts w:asciiTheme="minorHAnsi" w:hAnsiTheme="minorHAnsi" w:cstheme="minorHAnsi"/>
          <w:spacing w:val="-3"/>
          <w:sz w:val="22"/>
          <w:szCs w:val="22"/>
        </w:rPr>
        <w:t>departments:</w:t>
      </w:r>
      <w:r w:rsidRPr="006D3BC6">
        <w:rPr>
          <w:rFonts w:asciiTheme="minorHAnsi" w:hAnsiTheme="minorHAnsi" w:cstheme="minorHAnsi"/>
          <w:spacing w:val="-3"/>
          <w:sz w:val="22"/>
          <w:szCs w:val="22"/>
        </w:rPr>
        <w:t xml:space="preserve"> Accounting, Marketing and Administration.  The </w:t>
      </w:r>
    </w:p>
    <w:p w14:paraId="3B917F49" w14:textId="4C313854"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total combined direct operating costs of the three departments equal $100,000.  Management has determined that only the Accounting Department Expenditures relate to the Health Care Division.   Three components exist within the accounting department; Health Care, (which has </w:t>
      </w:r>
    </w:p>
    <w:p w14:paraId="57CCE0FF" w14:textId="0CB47320" w:rsidR="005559D0" w:rsidRPr="00BE1CE4" w:rsidRDefault="005559D0" w:rsidP="005559D0">
      <w:pPr>
        <w:tabs>
          <w:tab w:val="left" w:pos="-720"/>
        </w:tabs>
        <w:suppressAutoHyphens/>
        <w:ind w:left="100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direct costs of $10,000) Pooled, (which has direct costs of $20,000) and </w:t>
      </w:r>
      <w:proofErr w:type="gramStart"/>
      <w:r w:rsidRPr="00BE1CE4">
        <w:rPr>
          <w:rFonts w:asciiTheme="minorHAnsi" w:hAnsiTheme="minorHAnsi" w:cstheme="minorHAnsi"/>
          <w:spacing w:val="-3"/>
          <w:sz w:val="22"/>
          <w:szCs w:val="22"/>
        </w:rPr>
        <w:t>Non-</w:t>
      </w:r>
      <w:r w:rsidRPr="00BE1CE4">
        <w:rPr>
          <w:rFonts w:asciiTheme="minorHAnsi" w:hAnsiTheme="minorHAnsi" w:cstheme="minorHAnsi"/>
          <w:spacing w:val="-3"/>
          <w:sz w:val="22"/>
          <w:szCs w:val="22"/>
        </w:rPr>
        <w:noBreakHyphen/>
      </w:r>
      <w:proofErr w:type="gramEnd"/>
      <w:r w:rsidRPr="00BE1CE4">
        <w:rPr>
          <w:rFonts w:asciiTheme="minorHAnsi" w:hAnsiTheme="minorHAnsi" w:cstheme="minorHAnsi"/>
          <w:spacing w:val="-3"/>
          <w:sz w:val="22"/>
          <w:szCs w:val="22"/>
        </w:rPr>
        <w:t xml:space="preserve"> Health Care, (which has direct costs of $10,000</w:t>
      </w:r>
      <w:proofErr w:type="gramStart"/>
      <w:r w:rsidRPr="00BE1CE4">
        <w:rPr>
          <w:rFonts w:asciiTheme="minorHAnsi" w:hAnsiTheme="minorHAnsi" w:cstheme="minorHAnsi"/>
          <w:spacing w:val="-3"/>
          <w:sz w:val="22"/>
          <w:szCs w:val="22"/>
        </w:rPr>
        <w:t>)  After</w:t>
      </w:r>
      <w:proofErr w:type="gramEnd"/>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u w:val="single"/>
        </w:rPr>
        <w:t>thorough</w:t>
      </w:r>
      <w:r w:rsidRPr="00BE1CE4">
        <w:rPr>
          <w:rFonts w:asciiTheme="minorHAnsi" w:hAnsiTheme="minorHAnsi" w:cstheme="minorHAnsi"/>
          <w:spacing w:val="-3"/>
          <w:sz w:val="22"/>
          <w:szCs w:val="22"/>
        </w:rPr>
        <w:t xml:space="preserve"> analysis, Management has decided that only $15,000 ($5,000 of Health Care and $10,000 of Pooled) in accounting expenditures is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for health care reimbursement per regulation 101 CMR 204.00 or 101 CMR 206.00. The $15,000 of allowable accounting costs will be subject to some reasonable method of </w:t>
      </w:r>
      <w:r w:rsidRPr="00BE1CE4">
        <w:rPr>
          <w:rFonts w:asciiTheme="minorHAnsi" w:hAnsiTheme="minorHAnsi" w:cstheme="minorHAnsi"/>
          <w:spacing w:val="-3"/>
          <w:sz w:val="22"/>
          <w:szCs w:val="22"/>
          <w:u w:val="single"/>
        </w:rPr>
        <w:t>allocation</w:t>
      </w:r>
      <w:r w:rsidRPr="00BE1CE4">
        <w:rPr>
          <w:rFonts w:asciiTheme="minorHAnsi" w:hAnsiTheme="minorHAnsi" w:cstheme="minorHAnsi"/>
          <w:spacing w:val="-3"/>
          <w:sz w:val="22"/>
          <w:szCs w:val="22"/>
        </w:rPr>
        <w:t xml:space="preserve"> in a later step. (See Exhibit 2 for a more detailed explanation of the Accounting Department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Expenditures and Allocation Method.) </w:t>
      </w:r>
    </w:p>
    <w:p w14:paraId="69E0696E"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399626" w14:textId="2AF1A8EE"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Health Care Division</w:t>
      </w:r>
      <w:proofErr w:type="gramStart"/>
      <w:r w:rsidRPr="00BE1CE4">
        <w:rPr>
          <w:rFonts w:asciiTheme="minorHAnsi" w:hAnsiTheme="minorHAnsi" w:cstheme="minorHAnsi"/>
          <w:spacing w:val="-3"/>
          <w:sz w:val="22"/>
          <w:szCs w:val="22"/>
        </w:rPr>
        <w:t>:  Total</w:t>
      </w:r>
      <w:proofErr w:type="gramEnd"/>
      <w:r w:rsidRPr="00BE1CE4">
        <w:rPr>
          <w:rFonts w:asciiTheme="minorHAnsi" w:hAnsiTheme="minorHAnsi" w:cstheme="minorHAnsi"/>
          <w:spacing w:val="-3"/>
          <w:sz w:val="22"/>
          <w:szCs w:val="22"/>
        </w:rPr>
        <w:t xml:space="preserve"> direct operating costs consist of $80,000.  Management has concluded (after analysis) that only $40,000 of the direct healthcare costs is allowable.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our regional offices based on the percentage of total licensed beds in each region.  The total licensed beds operated and/or managed equal 12,500. The East Regional Office oversees 5,000 of these beds.  Therefore, forty percent (40%) of the Health Care Division's total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lastRenderedPageBreak/>
        <w:t xml:space="preserve">cost or $16,000 has been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East Regional Office. Based upon some </w:t>
      </w:r>
      <w:r w:rsidRPr="00BE1CE4">
        <w:rPr>
          <w:rFonts w:asciiTheme="minorHAnsi" w:hAnsiTheme="minorHAnsi" w:cstheme="minorHAnsi"/>
          <w:spacing w:val="-3"/>
          <w:sz w:val="22"/>
          <w:szCs w:val="22"/>
          <w:u w:val="single"/>
        </w:rPr>
        <w:t>reasonable</w:t>
      </w:r>
      <w:r w:rsidRPr="00BE1CE4">
        <w:rPr>
          <w:rFonts w:asciiTheme="minorHAnsi" w:hAnsiTheme="minorHAnsi" w:cstheme="minorHAnsi"/>
          <w:spacing w:val="-3"/>
          <w:sz w:val="22"/>
          <w:szCs w:val="22"/>
        </w:rPr>
        <w:t xml:space="preserve"> method of allocation, a portion of the $</w:t>
      </w:r>
      <w:proofErr w:type="gramStart"/>
      <w:r w:rsidRPr="00BE1CE4">
        <w:rPr>
          <w:rFonts w:asciiTheme="minorHAnsi" w:hAnsiTheme="minorHAnsi" w:cstheme="minorHAnsi"/>
          <w:spacing w:val="-3"/>
          <w:sz w:val="22"/>
          <w:szCs w:val="22"/>
        </w:rPr>
        <w:t>16,000 of</w:t>
      </w:r>
      <w:proofErr w:type="gramEnd"/>
      <w:r w:rsidRPr="00BE1CE4">
        <w:rPr>
          <w:rFonts w:asciiTheme="minorHAnsi" w:hAnsiTheme="minorHAnsi" w:cstheme="minorHAnsi"/>
          <w:spacing w:val="-3"/>
          <w:sz w:val="22"/>
          <w:szCs w:val="22"/>
        </w:rPr>
        <w:t xml:space="preserve"> allowable costs allocated to the East Regional Office will be allocated to the Mass. Nursing Facilities at a later step.</w:t>
      </w:r>
    </w:p>
    <w:p w14:paraId="79420CF0" w14:textId="77777777" w:rsidR="005559D0" w:rsidRPr="00BE1CE4" w:rsidRDefault="005559D0" w:rsidP="005559D0">
      <w:pPr>
        <w:tabs>
          <w:tab w:val="left" w:pos="-720"/>
        </w:tabs>
        <w:suppressAutoHyphens/>
        <w:ind w:left="648"/>
        <w:jc w:val="both"/>
        <w:rPr>
          <w:rFonts w:asciiTheme="minorHAnsi" w:hAnsiTheme="minorHAnsi" w:cstheme="minorHAnsi"/>
          <w:spacing w:val="-3"/>
          <w:sz w:val="22"/>
          <w:szCs w:val="22"/>
        </w:rPr>
      </w:pPr>
    </w:p>
    <w:p w14:paraId="75F74AEC" w14:textId="77777777" w:rsidR="005559D0" w:rsidRPr="00BE1CE4" w:rsidRDefault="005559D0" w:rsidP="005559D0">
      <w:pPr>
        <w:numPr>
          <w:ilvl w:val="0"/>
          <w:numId w:val="7"/>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East Regional Office</w:t>
      </w:r>
      <w:proofErr w:type="gramStart"/>
      <w:r w:rsidRPr="00BE1CE4">
        <w:rPr>
          <w:rFonts w:asciiTheme="minorHAnsi" w:hAnsiTheme="minorHAnsi" w:cstheme="minorHAnsi"/>
          <w:spacing w:val="-3"/>
          <w:sz w:val="22"/>
          <w:szCs w:val="22"/>
        </w:rPr>
        <w:t>:  Total</w:t>
      </w:r>
      <w:proofErr w:type="gramEnd"/>
      <w:r w:rsidRPr="00BE1CE4">
        <w:rPr>
          <w:rFonts w:asciiTheme="minorHAnsi" w:hAnsiTheme="minorHAnsi" w:cstheme="minorHAnsi"/>
          <w:spacing w:val="-3"/>
          <w:sz w:val="22"/>
          <w:szCs w:val="22"/>
        </w:rPr>
        <w:t xml:space="preserve"> direct operating costs consist of $50,000.  Management has concluded (after analysis) that only $40,000 </w:t>
      </w:r>
      <w:proofErr w:type="gramStart"/>
      <w:r w:rsidRPr="00BE1CE4">
        <w:rPr>
          <w:rFonts w:asciiTheme="minorHAnsi" w:hAnsiTheme="minorHAnsi" w:cstheme="minorHAnsi"/>
          <w:spacing w:val="-3"/>
          <w:sz w:val="22"/>
          <w:szCs w:val="22"/>
        </w:rPr>
        <w:t>of</w:t>
      </w:r>
      <w:proofErr w:type="gramEnd"/>
      <w:r w:rsidRPr="00BE1CE4">
        <w:rPr>
          <w:rFonts w:asciiTheme="minorHAnsi" w:hAnsiTheme="minorHAnsi" w:cstheme="minorHAnsi"/>
          <w:spacing w:val="-3"/>
          <w:sz w:val="22"/>
          <w:szCs w:val="22"/>
        </w:rPr>
        <w:t xml:space="preserve"> the East Regional total direct operating costs is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This expenditure is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based on licensed beds covered by this office.  Total licensed beds in the east region are 5,000 with Massachusetts beds accounting for 1,000 of these beds.  Therefore, twenty percent (20%) of the East Regional Office's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w:t>
      </w:r>
      <w:proofErr w:type="gramStart"/>
      <w:r w:rsidRPr="00BE1CE4">
        <w:rPr>
          <w:rFonts w:asciiTheme="minorHAnsi" w:hAnsiTheme="minorHAnsi" w:cstheme="minorHAnsi"/>
          <w:spacing w:val="-3"/>
          <w:sz w:val="22"/>
          <w:szCs w:val="22"/>
        </w:rPr>
        <w:t>expenditures</w:t>
      </w:r>
      <w:proofErr w:type="gramEnd"/>
      <w:r w:rsidRPr="00BE1CE4">
        <w:rPr>
          <w:rFonts w:asciiTheme="minorHAnsi" w:hAnsiTheme="minorHAnsi" w:cstheme="minorHAnsi"/>
          <w:spacing w:val="-3"/>
          <w:sz w:val="22"/>
          <w:szCs w:val="22"/>
        </w:rPr>
        <w:t xml:space="preserve"> or $8,000 has been allocated to Massachusetts facilities.</w:t>
      </w:r>
    </w:p>
    <w:p w14:paraId="2B0223C4"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C22DC90"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Massachusetts Regulation Analysis:</w:t>
      </w:r>
    </w:p>
    <w:p w14:paraId="3074494B"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Parent</w:t>
      </w:r>
      <w:proofErr w:type="gramStart"/>
      <w:r w:rsidRPr="00BE1CE4">
        <w:rPr>
          <w:rFonts w:asciiTheme="minorHAnsi" w:hAnsiTheme="minorHAnsi" w:cstheme="minorHAnsi"/>
          <w:spacing w:val="-3"/>
          <w:sz w:val="22"/>
          <w:szCs w:val="22"/>
        </w:rPr>
        <w:t>:  None</w:t>
      </w:r>
      <w:proofErr w:type="gramEnd"/>
      <w:r w:rsidRPr="00BE1CE4">
        <w:rPr>
          <w:rFonts w:asciiTheme="minorHAnsi" w:hAnsiTheme="minorHAnsi" w:cstheme="minorHAnsi"/>
          <w:spacing w:val="-3"/>
          <w:sz w:val="22"/>
          <w:szCs w:val="22"/>
        </w:rPr>
        <w:t xml:space="preserve"> claimed.</w:t>
      </w:r>
    </w:p>
    <w:p w14:paraId="782C98EF"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61F40F18" w14:textId="77777777" w:rsidR="005559D0" w:rsidRPr="00BE1CE4" w:rsidRDefault="005559D0" w:rsidP="005559D0">
      <w:pPr>
        <w:numPr>
          <w:ilvl w:val="0"/>
          <w:numId w:val="8"/>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ABC Company:</w:t>
      </w:r>
    </w:p>
    <w:p w14:paraId="6AF3F8BD"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Accounting Department:</w:t>
      </w:r>
    </w:p>
    <w:p w14:paraId="2C9A4F8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$15,000 Allowable ABC Management Company Expenses</w:t>
      </w:r>
    </w:p>
    <w:p w14:paraId="36E94150"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$15,000 * 50% = $7,500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the Health Care Division</w:t>
      </w:r>
    </w:p>
    <w:p w14:paraId="2D7B630B"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proofErr w:type="gramStart"/>
      <w:r w:rsidRPr="00BE1CE4">
        <w:rPr>
          <w:rFonts w:asciiTheme="minorHAnsi" w:hAnsiTheme="minorHAnsi" w:cstheme="minorHAnsi"/>
          <w:spacing w:val="-3"/>
          <w:sz w:val="22"/>
          <w:szCs w:val="22"/>
        </w:rPr>
        <w:t>$  7,500</w:t>
      </w:r>
      <w:proofErr w:type="gramEnd"/>
      <w:r w:rsidRPr="00BE1CE4">
        <w:rPr>
          <w:rFonts w:asciiTheme="minorHAnsi" w:hAnsiTheme="minorHAnsi" w:cstheme="minorHAnsi"/>
          <w:spacing w:val="-3"/>
          <w:sz w:val="22"/>
          <w:szCs w:val="22"/>
        </w:rPr>
        <w:t xml:space="preserve"> * 40% = $3,000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East Regional Office</w:t>
      </w:r>
    </w:p>
    <w:p w14:paraId="719373AF"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proofErr w:type="gramStart"/>
      <w:r w:rsidRPr="00BE1CE4">
        <w:rPr>
          <w:rFonts w:asciiTheme="minorHAnsi" w:hAnsiTheme="minorHAnsi" w:cstheme="minorHAnsi"/>
          <w:spacing w:val="-3"/>
          <w:sz w:val="22"/>
          <w:szCs w:val="22"/>
        </w:rPr>
        <w:t>$  3,000</w:t>
      </w:r>
      <w:proofErr w:type="gramEnd"/>
      <w:r w:rsidRPr="00BE1CE4">
        <w:rPr>
          <w:rFonts w:asciiTheme="minorHAnsi" w:hAnsiTheme="minorHAnsi" w:cstheme="minorHAnsi"/>
          <w:spacing w:val="-3"/>
          <w:sz w:val="22"/>
          <w:szCs w:val="22"/>
        </w:rPr>
        <w:t xml:space="preserve"> * 20% = $   600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40CA06D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2175797E"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Health Care Division:</w:t>
      </w:r>
    </w:p>
    <w:p w14:paraId="32C2954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$80,000 * 50%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Health Care Division</w:t>
      </w:r>
    </w:p>
    <w:p w14:paraId="6DE517E9"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40% = $16,000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Regional East</w:t>
      </w:r>
    </w:p>
    <w:p w14:paraId="08D3270E"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$16,000 * 20% </w:t>
      </w:r>
      <w:proofErr w:type="gramStart"/>
      <w:r w:rsidRPr="00BE1CE4">
        <w:rPr>
          <w:rFonts w:asciiTheme="minorHAnsi" w:hAnsiTheme="minorHAnsi" w:cstheme="minorHAnsi"/>
          <w:spacing w:val="-3"/>
          <w:sz w:val="22"/>
          <w:szCs w:val="22"/>
        </w:rPr>
        <w:t>=  $</w:t>
      </w:r>
      <w:proofErr w:type="gramEnd"/>
      <w:r w:rsidRPr="00BE1CE4">
        <w:rPr>
          <w:rFonts w:asciiTheme="minorHAnsi" w:hAnsiTheme="minorHAnsi" w:cstheme="minorHAnsi"/>
          <w:spacing w:val="-3"/>
          <w:sz w:val="22"/>
          <w:szCs w:val="22"/>
        </w:rPr>
        <w:t xml:space="preserve">3,200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278DFCA9" w14:textId="77777777" w:rsidR="005559D0" w:rsidRPr="00BE1CE4" w:rsidRDefault="005559D0" w:rsidP="005559D0">
      <w:pPr>
        <w:tabs>
          <w:tab w:val="left" w:pos="-720"/>
        </w:tabs>
        <w:suppressAutoHyphens/>
        <w:ind w:left="288"/>
        <w:jc w:val="both"/>
        <w:rPr>
          <w:rFonts w:asciiTheme="minorHAnsi" w:hAnsiTheme="minorHAnsi" w:cstheme="minorHAnsi"/>
          <w:spacing w:val="-3"/>
          <w:sz w:val="22"/>
          <w:szCs w:val="22"/>
        </w:rPr>
      </w:pPr>
    </w:p>
    <w:p w14:paraId="0D229832" w14:textId="77777777" w:rsidR="005559D0" w:rsidRPr="00BE1CE4" w:rsidRDefault="005559D0" w:rsidP="005559D0">
      <w:pPr>
        <w:numPr>
          <w:ilvl w:val="0"/>
          <w:numId w:val="9"/>
        </w:numPr>
        <w:tabs>
          <w:tab w:val="left" w:pos="-720"/>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East Regional Office:</w:t>
      </w:r>
    </w:p>
    <w:p w14:paraId="03355D81"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$50,000 * 80% = $40,000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of Regional East</w:t>
      </w:r>
    </w:p>
    <w:p w14:paraId="3150DF34" w14:textId="77777777" w:rsidR="005559D0" w:rsidRPr="00BE1CE4" w:rsidRDefault="005559D0" w:rsidP="005559D0">
      <w:pPr>
        <w:tabs>
          <w:tab w:val="left" w:pos="-720"/>
        </w:tabs>
        <w:suppressAutoHyphens/>
        <w:ind w:left="136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$40,000 * 20% </w:t>
      </w:r>
      <w:proofErr w:type="gramStart"/>
      <w:r w:rsidRPr="00BE1CE4">
        <w:rPr>
          <w:rFonts w:asciiTheme="minorHAnsi" w:hAnsiTheme="minorHAnsi" w:cstheme="minorHAnsi"/>
          <w:spacing w:val="-3"/>
          <w:sz w:val="22"/>
          <w:szCs w:val="22"/>
        </w:rPr>
        <w:t>=  $</w:t>
      </w:r>
      <w:proofErr w:type="gramEnd"/>
      <w:r w:rsidRPr="00BE1CE4">
        <w:rPr>
          <w:rFonts w:asciiTheme="minorHAnsi" w:hAnsiTheme="minorHAnsi" w:cstheme="minorHAnsi"/>
          <w:spacing w:val="-3"/>
          <w:sz w:val="22"/>
          <w:szCs w:val="22"/>
        </w:rPr>
        <w:t xml:space="preserve">8,000 </w:t>
      </w:r>
      <w:r w:rsidRPr="00BE1CE4">
        <w:rPr>
          <w:rFonts w:asciiTheme="minorHAnsi" w:hAnsiTheme="minorHAnsi" w:cstheme="minorHAnsi"/>
          <w:spacing w:val="-3"/>
          <w:sz w:val="22"/>
          <w:szCs w:val="22"/>
          <w:u w:val="single"/>
        </w:rPr>
        <w:t>Allocated</w:t>
      </w:r>
      <w:r w:rsidRPr="00BE1CE4">
        <w:rPr>
          <w:rFonts w:asciiTheme="minorHAnsi" w:hAnsiTheme="minorHAnsi" w:cstheme="minorHAnsi"/>
          <w:spacing w:val="-3"/>
          <w:sz w:val="22"/>
          <w:szCs w:val="22"/>
        </w:rPr>
        <w:t xml:space="preserve"> to Mass. Facilities</w:t>
      </w:r>
    </w:p>
    <w:p w14:paraId="068F905C"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p>
    <w:p w14:paraId="4CA1C1F5"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Total Allowable Massachusetts Expenditures:</w:t>
      </w:r>
    </w:p>
    <w:p w14:paraId="749AB81B" w14:textId="421EB7E2"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ABC </w:t>
      </w:r>
      <w:proofErr w:type="spellStart"/>
      <w:r w:rsidRPr="00BE1CE4">
        <w:rPr>
          <w:rFonts w:asciiTheme="minorHAnsi" w:hAnsiTheme="minorHAnsi" w:cstheme="minorHAnsi"/>
          <w:spacing w:val="-3"/>
          <w:sz w:val="22"/>
          <w:szCs w:val="22"/>
        </w:rPr>
        <w:t>Mgmt</w:t>
      </w:r>
      <w:proofErr w:type="spellEnd"/>
      <w:r w:rsidRPr="00BE1CE4">
        <w:rPr>
          <w:rFonts w:asciiTheme="minorHAnsi" w:hAnsiTheme="minorHAnsi" w:cstheme="minorHAnsi"/>
          <w:spacing w:val="-3"/>
          <w:sz w:val="22"/>
          <w:szCs w:val="22"/>
        </w:rPr>
        <w:t xml:space="preserve"> Co./</w:t>
      </w:r>
      <w:proofErr w:type="spellStart"/>
      <w:r w:rsidRPr="00BE1CE4">
        <w:rPr>
          <w:rFonts w:asciiTheme="minorHAnsi" w:hAnsiTheme="minorHAnsi" w:cstheme="minorHAnsi"/>
          <w:spacing w:val="-3"/>
          <w:sz w:val="22"/>
          <w:szCs w:val="22"/>
        </w:rPr>
        <w:t>Acctg</w:t>
      </w:r>
      <w:proofErr w:type="spellEnd"/>
      <w:r w:rsidRPr="00BE1CE4">
        <w:rPr>
          <w:rFonts w:asciiTheme="minorHAnsi" w:hAnsiTheme="minorHAnsi" w:cstheme="minorHAnsi"/>
          <w:spacing w:val="-3"/>
          <w:sz w:val="22"/>
          <w:szCs w:val="22"/>
        </w:rPr>
        <w:t xml:space="preserve">. Dept.: </w:t>
      </w:r>
      <w:r w:rsidRPr="00BE1CE4">
        <w:rPr>
          <w:rFonts w:asciiTheme="minorHAnsi" w:hAnsiTheme="minorHAnsi" w:cstheme="minorHAnsi"/>
          <w:spacing w:val="-3"/>
          <w:sz w:val="22"/>
          <w:szCs w:val="22"/>
        </w:rPr>
        <w:tab/>
      </w:r>
      <w:r w:rsidR="006D3BC6">
        <w:rPr>
          <w:rFonts w:asciiTheme="minorHAnsi" w:hAnsiTheme="minorHAnsi" w:cstheme="minorHAnsi"/>
          <w:spacing w:val="-3"/>
          <w:sz w:val="22"/>
          <w:szCs w:val="22"/>
        </w:rPr>
        <w:t xml:space="preserve"> </w:t>
      </w:r>
      <w:proofErr w:type="gramStart"/>
      <w:r w:rsidRPr="00BE1CE4">
        <w:rPr>
          <w:rFonts w:asciiTheme="minorHAnsi" w:hAnsiTheme="minorHAnsi" w:cstheme="minorHAnsi"/>
          <w:spacing w:val="-3"/>
          <w:sz w:val="22"/>
          <w:szCs w:val="22"/>
        </w:rPr>
        <w:t>$  600</w:t>
      </w:r>
      <w:proofErr w:type="gramEnd"/>
    </w:p>
    <w:p w14:paraId="21E52C8C" w14:textId="1F1FDDAF" w:rsidR="005559D0" w:rsidRPr="00BE1CE4" w:rsidRDefault="005559D0" w:rsidP="006D3BC6">
      <w:pPr>
        <w:tabs>
          <w:tab w:val="center" w:pos="5537"/>
        </w:tabs>
        <w:suppressAutoHyphens/>
        <w:ind w:left="270"/>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 xml:space="preserve">From Health Care Division: </w:t>
      </w:r>
      <w:r w:rsidR="006D3BC6">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$3,200</w:t>
      </w:r>
    </w:p>
    <w:p w14:paraId="6FEAAF5A"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From East Regional Office</w:t>
      </w:r>
      <w:proofErr w:type="gramStart"/>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u w:val="single"/>
        </w:rPr>
        <w:t>$</w:t>
      </w:r>
      <w:proofErr w:type="gramEnd"/>
      <w:r w:rsidRPr="00BE1CE4">
        <w:rPr>
          <w:rFonts w:asciiTheme="minorHAnsi" w:hAnsiTheme="minorHAnsi" w:cstheme="minorHAnsi"/>
          <w:spacing w:val="-3"/>
          <w:sz w:val="22"/>
          <w:szCs w:val="22"/>
          <w:u w:val="single"/>
        </w:rPr>
        <w:t>8,000</w:t>
      </w:r>
    </w:p>
    <w:p w14:paraId="19560E40" w14:textId="3EAAB0BB" w:rsidR="005559D0" w:rsidRPr="00BE1CE4" w:rsidRDefault="005559D0" w:rsidP="005559D0">
      <w:pPr>
        <w:tabs>
          <w:tab w:val="left" w:pos="576"/>
          <w:tab w:val="left" w:pos="1296"/>
          <w:tab w:val="left" w:pos="2016"/>
        </w:tabs>
        <w:suppressAutoHyphens/>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ab/>
      </w:r>
      <w:r w:rsidRPr="00BE1CE4">
        <w:rPr>
          <w:rFonts w:asciiTheme="minorHAnsi" w:hAnsiTheme="minorHAnsi" w:cstheme="minorHAnsi"/>
          <w:spacing w:val="-3"/>
          <w:sz w:val="22"/>
          <w:szCs w:val="22"/>
        </w:rPr>
        <w:tab/>
        <w:t xml:space="preserve">Total                              </w:t>
      </w:r>
      <w:r w:rsidR="00EF5171">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 xml:space="preserve">    $11,800</w:t>
      </w:r>
    </w:p>
    <w:p w14:paraId="156D7F26" w14:textId="0DF2A070"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This total expenditure which is allowable under Massachusetts regulations is $11,800. This cost will be allocated to individual facilities such that each licensed bed receives $11.80 per year since there are 1000 licensed beds in Massachusetts.</w:t>
      </w:r>
    </w:p>
    <w:p w14:paraId="24B39CBD"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u w:val="single"/>
        </w:rPr>
      </w:pPr>
    </w:p>
    <w:p w14:paraId="1990C086"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u w:val="single"/>
        </w:rPr>
        <w:t>Key of Allocation</w:t>
      </w:r>
      <w:r w:rsidRPr="00BE1CE4">
        <w:rPr>
          <w:rFonts w:asciiTheme="minorHAnsi" w:hAnsiTheme="minorHAnsi" w:cstheme="minorHAnsi"/>
          <w:spacing w:val="-3"/>
          <w:sz w:val="22"/>
          <w:szCs w:val="22"/>
        </w:rPr>
        <w:t>:</w:t>
      </w:r>
    </w:p>
    <w:p w14:paraId="6136A18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1</w:t>
      </w:r>
      <w:proofErr w:type="gramStart"/>
      <w:r w:rsidRPr="00BE1CE4">
        <w:rPr>
          <w:rFonts w:asciiTheme="minorHAnsi" w:hAnsiTheme="minorHAnsi" w:cstheme="minorHAnsi"/>
          <w:spacing w:val="-3"/>
          <w:sz w:val="22"/>
          <w:szCs w:val="22"/>
        </w:rPr>
        <w:t xml:space="preserve">. </w:t>
      </w:r>
      <w:r w:rsidRPr="00BE1CE4">
        <w:rPr>
          <w:rFonts w:asciiTheme="minorHAnsi" w:hAnsiTheme="minorHAnsi" w:cstheme="minorHAnsi"/>
          <w:spacing w:val="-3"/>
          <w:sz w:val="22"/>
          <w:szCs w:val="22"/>
        </w:rPr>
        <w:tab/>
        <w:t>Allocation</w:t>
      </w:r>
      <w:proofErr w:type="gramEnd"/>
      <w:r w:rsidRPr="00BE1CE4">
        <w:rPr>
          <w:rFonts w:asciiTheme="minorHAnsi" w:hAnsiTheme="minorHAnsi" w:cstheme="minorHAnsi"/>
          <w:spacing w:val="-3"/>
          <w:sz w:val="22"/>
          <w:szCs w:val="22"/>
        </w:rPr>
        <w:t xml:space="preserve">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direct Accounting\Health Care costs to the Division.</w:t>
      </w:r>
    </w:p>
    <w:p w14:paraId="07E0AC5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2.</w:t>
      </w:r>
      <w:r w:rsidRPr="00BE1CE4">
        <w:rPr>
          <w:rFonts w:asciiTheme="minorHAnsi" w:hAnsiTheme="minorHAnsi" w:cstheme="minorHAnsi"/>
          <w:spacing w:val="-3"/>
          <w:sz w:val="22"/>
          <w:szCs w:val="22"/>
        </w:rPr>
        <w:tab/>
        <w:t xml:space="preserve">Allocation percentage of ABC's </w:t>
      </w:r>
      <w:proofErr w:type="gramStart"/>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w:t>
      </w:r>
      <w:proofErr w:type="gramEnd"/>
      <w:r w:rsidRPr="00BE1CE4">
        <w:rPr>
          <w:rFonts w:asciiTheme="minorHAnsi" w:hAnsiTheme="minorHAnsi" w:cstheme="minorHAnsi"/>
          <w:spacing w:val="-3"/>
          <w:sz w:val="22"/>
          <w:szCs w:val="22"/>
        </w:rPr>
        <w:t>\Pooled costs to the Health Care Division.</w:t>
      </w:r>
    </w:p>
    <w:p w14:paraId="51413537"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3.</w:t>
      </w:r>
      <w:r w:rsidRPr="00BE1CE4">
        <w:rPr>
          <w:rFonts w:asciiTheme="minorHAnsi" w:hAnsiTheme="minorHAnsi" w:cstheme="minorHAnsi"/>
          <w:spacing w:val="-3"/>
          <w:sz w:val="22"/>
          <w:szCs w:val="22"/>
        </w:rPr>
        <w:tab/>
        <w:t xml:space="preserve">Allocation percentage of ABC's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Accounting\Non</w:t>
      </w:r>
      <w:r w:rsidRPr="00BE1CE4">
        <w:rPr>
          <w:rFonts w:asciiTheme="minorHAnsi" w:hAnsiTheme="minorHAnsi" w:cstheme="minorHAnsi"/>
          <w:spacing w:val="-3"/>
          <w:sz w:val="22"/>
          <w:szCs w:val="22"/>
        </w:rPr>
        <w:noBreakHyphen/>
        <w:t>Health Care costs to the Division.</w:t>
      </w:r>
    </w:p>
    <w:p w14:paraId="4DA3591E" w14:textId="77777777" w:rsidR="005559D0" w:rsidRPr="00BE1CE4" w:rsidRDefault="005559D0" w:rsidP="005559D0">
      <w:pPr>
        <w:tabs>
          <w:tab w:val="left" w:pos="576"/>
          <w:tab w:val="left" w:pos="1296"/>
          <w:tab w:val="left" w:pos="2016"/>
        </w:tabs>
        <w:suppressAutoHyphens/>
        <w:ind w:left="288"/>
        <w:jc w:val="both"/>
        <w:rPr>
          <w:rFonts w:asciiTheme="minorHAnsi" w:hAnsiTheme="minorHAnsi" w:cstheme="minorHAnsi"/>
          <w:spacing w:val="-3"/>
          <w:sz w:val="22"/>
          <w:szCs w:val="22"/>
        </w:rPr>
      </w:pPr>
      <w:r w:rsidRPr="00BE1CE4">
        <w:rPr>
          <w:rFonts w:asciiTheme="minorHAnsi" w:hAnsiTheme="minorHAnsi" w:cstheme="minorHAnsi"/>
          <w:spacing w:val="-3"/>
          <w:sz w:val="22"/>
          <w:szCs w:val="22"/>
        </w:rPr>
        <w:t>4.</w:t>
      </w:r>
      <w:r w:rsidRPr="00BE1CE4">
        <w:rPr>
          <w:rFonts w:asciiTheme="minorHAnsi" w:hAnsiTheme="minorHAnsi" w:cstheme="minorHAnsi"/>
          <w:spacing w:val="-3"/>
          <w:sz w:val="22"/>
          <w:szCs w:val="22"/>
        </w:rPr>
        <w:tab/>
        <w:t xml:space="preserve">Allocation percentage of the </w:t>
      </w:r>
      <w:r w:rsidRPr="00BE1CE4">
        <w:rPr>
          <w:rFonts w:asciiTheme="minorHAnsi" w:hAnsiTheme="minorHAnsi" w:cstheme="minorHAnsi"/>
          <w:spacing w:val="-3"/>
          <w:sz w:val="22"/>
          <w:szCs w:val="22"/>
          <w:u w:val="single"/>
        </w:rPr>
        <w:t>allowable</w:t>
      </w:r>
      <w:r w:rsidRPr="00BE1CE4">
        <w:rPr>
          <w:rFonts w:asciiTheme="minorHAnsi" w:hAnsiTheme="minorHAnsi" w:cstheme="minorHAnsi"/>
          <w:spacing w:val="-3"/>
          <w:sz w:val="22"/>
          <w:szCs w:val="22"/>
        </w:rPr>
        <w:t xml:space="preserve"> costs to Regional East.</w:t>
      </w:r>
    </w:p>
    <w:p w14:paraId="6D5E81A7" w14:textId="0E1A3B99" w:rsidR="00623085" w:rsidRPr="001A687E" w:rsidRDefault="005559D0" w:rsidP="00F86057">
      <w:pPr>
        <w:ind w:firstLine="288"/>
      </w:pPr>
      <w:r w:rsidRPr="00BE1CE4">
        <w:rPr>
          <w:rFonts w:asciiTheme="minorHAnsi" w:hAnsiTheme="minorHAnsi" w:cstheme="minorHAnsi"/>
          <w:spacing w:val="-3"/>
          <w:sz w:val="22"/>
          <w:szCs w:val="22"/>
        </w:rPr>
        <w:t>5. Allocation percentage of</w:t>
      </w:r>
      <w:r w:rsidRPr="00477E98">
        <w:rPr>
          <w:spacing w:val="-3"/>
          <w:sz w:val="22"/>
          <w:szCs w:val="22"/>
        </w:rPr>
        <w:t xml:space="preserve"> the </w:t>
      </w:r>
      <w:r w:rsidRPr="00477E98">
        <w:rPr>
          <w:spacing w:val="-3"/>
          <w:sz w:val="22"/>
          <w:szCs w:val="22"/>
          <w:u w:val="single"/>
        </w:rPr>
        <w:t>allowable</w:t>
      </w:r>
      <w:r w:rsidR="001A687E">
        <w:rPr>
          <w:spacing w:val="-3"/>
          <w:sz w:val="22"/>
          <w:szCs w:val="22"/>
          <w:u w:val="single"/>
        </w:rPr>
        <w:t xml:space="preserve"> </w:t>
      </w:r>
      <w:r w:rsidR="001A687E" w:rsidRPr="009213F8">
        <w:rPr>
          <w:rFonts w:asciiTheme="minorHAnsi" w:hAnsiTheme="minorHAnsi" w:cstheme="minorHAnsi"/>
          <w:spacing w:val="-3"/>
          <w:sz w:val="22"/>
          <w:szCs w:val="22"/>
        </w:rPr>
        <w:t>costs to Massachusetts facilities.</w:t>
      </w:r>
    </w:p>
    <w:sectPr w:rsidR="00623085" w:rsidRPr="001A6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2FDC" w14:textId="77777777" w:rsidR="0011481C" w:rsidRDefault="0011481C" w:rsidP="003123A0">
      <w:r>
        <w:separator/>
      </w:r>
    </w:p>
  </w:endnote>
  <w:endnote w:type="continuationSeparator" w:id="0">
    <w:p w14:paraId="66AD6F95" w14:textId="77777777" w:rsidR="0011481C" w:rsidRDefault="0011481C" w:rsidP="003123A0">
      <w:r>
        <w:continuationSeparator/>
      </w:r>
    </w:p>
  </w:endnote>
  <w:endnote w:type="continuationNotice" w:id="1">
    <w:p w14:paraId="2ABDBC1C" w14:textId="77777777" w:rsidR="00D77E45" w:rsidRDefault="00D7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850719"/>
      <w:docPartObj>
        <w:docPartGallery w:val="Page Numbers (Bottom of Page)"/>
        <w:docPartUnique/>
      </w:docPartObj>
    </w:sdtPr>
    <w:sdtEndPr>
      <w:rPr>
        <w:noProof/>
      </w:rPr>
    </w:sdtEndPr>
    <w:sdtContent>
      <w:p w14:paraId="68BA93F0" w14:textId="65FE7AB9" w:rsidR="003123A0" w:rsidRDefault="00312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7EF6F" w14:textId="77777777" w:rsidR="003123A0" w:rsidRDefault="0031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F8C4" w14:textId="77777777" w:rsidR="0011481C" w:rsidRDefault="0011481C" w:rsidP="003123A0">
      <w:r>
        <w:separator/>
      </w:r>
    </w:p>
  </w:footnote>
  <w:footnote w:type="continuationSeparator" w:id="0">
    <w:p w14:paraId="116D37BD" w14:textId="77777777" w:rsidR="0011481C" w:rsidRDefault="0011481C" w:rsidP="003123A0">
      <w:r>
        <w:continuationSeparator/>
      </w:r>
    </w:p>
  </w:footnote>
  <w:footnote w:type="continuationNotice" w:id="1">
    <w:p w14:paraId="6C6E9F66" w14:textId="77777777" w:rsidR="00D77E45" w:rsidRDefault="00D77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2"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0"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4908694">
    <w:abstractNumId w:val="3"/>
  </w:num>
  <w:num w:numId="2" w16cid:durableId="716703194">
    <w:abstractNumId w:val="7"/>
  </w:num>
  <w:num w:numId="3" w16cid:durableId="1049694826">
    <w:abstractNumId w:val="25"/>
  </w:num>
  <w:num w:numId="4" w16cid:durableId="359283835">
    <w:abstractNumId w:val="23"/>
  </w:num>
  <w:num w:numId="5" w16cid:durableId="1345284666">
    <w:abstractNumId w:val="5"/>
  </w:num>
  <w:num w:numId="6" w16cid:durableId="628166394">
    <w:abstractNumId w:val="30"/>
  </w:num>
  <w:num w:numId="7" w16cid:durableId="1533761022">
    <w:abstractNumId w:val="11"/>
  </w:num>
  <w:num w:numId="8" w16cid:durableId="676419355">
    <w:abstractNumId w:val="19"/>
  </w:num>
  <w:num w:numId="9" w16cid:durableId="1992127438">
    <w:abstractNumId w:val="28"/>
  </w:num>
  <w:num w:numId="10" w16cid:durableId="1147478884">
    <w:abstractNumId w:val="2"/>
  </w:num>
  <w:num w:numId="11" w16cid:durableId="288249275">
    <w:abstractNumId w:val="13"/>
  </w:num>
  <w:num w:numId="12" w16cid:durableId="888348271">
    <w:abstractNumId w:val="14"/>
  </w:num>
  <w:num w:numId="13" w16cid:durableId="1930380476">
    <w:abstractNumId w:val="10"/>
  </w:num>
  <w:num w:numId="14" w16cid:durableId="2110081433">
    <w:abstractNumId w:val="24"/>
  </w:num>
  <w:num w:numId="15" w16cid:durableId="227695644">
    <w:abstractNumId w:val="12"/>
  </w:num>
  <w:num w:numId="16" w16cid:durableId="1997685073">
    <w:abstractNumId w:val="6"/>
  </w:num>
  <w:num w:numId="17" w16cid:durableId="389883546">
    <w:abstractNumId w:val="22"/>
  </w:num>
  <w:num w:numId="18" w16cid:durableId="1613593665">
    <w:abstractNumId w:val="1"/>
  </w:num>
  <w:num w:numId="19" w16cid:durableId="1278175644">
    <w:abstractNumId w:val="26"/>
  </w:num>
  <w:num w:numId="20" w16cid:durableId="1389526420">
    <w:abstractNumId w:val="17"/>
  </w:num>
  <w:num w:numId="21" w16cid:durableId="1620650243">
    <w:abstractNumId w:val="15"/>
  </w:num>
  <w:num w:numId="22" w16cid:durableId="1881091230">
    <w:abstractNumId w:val="9"/>
  </w:num>
  <w:num w:numId="23" w16cid:durableId="1373386013">
    <w:abstractNumId w:val="29"/>
  </w:num>
  <w:num w:numId="24" w16cid:durableId="1076591195">
    <w:abstractNumId w:val="8"/>
  </w:num>
  <w:num w:numId="25" w16cid:durableId="1593582718">
    <w:abstractNumId w:val="4"/>
  </w:num>
  <w:num w:numId="26" w16cid:durableId="1165126128">
    <w:abstractNumId w:val="0"/>
  </w:num>
  <w:num w:numId="27" w16cid:durableId="1637759482">
    <w:abstractNumId w:val="27"/>
  </w:num>
  <w:num w:numId="28" w16cid:durableId="200436607">
    <w:abstractNumId w:val="16"/>
  </w:num>
  <w:num w:numId="29" w16cid:durableId="1172836708">
    <w:abstractNumId w:val="21"/>
  </w:num>
  <w:num w:numId="30" w16cid:durableId="1845510305">
    <w:abstractNumId w:val="31"/>
  </w:num>
  <w:num w:numId="31" w16cid:durableId="709692515">
    <w:abstractNumId w:val="18"/>
  </w:num>
  <w:num w:numId="32" w16cid:durableId="606230970">
    <w:abstractNumId w:val="20"/>
  </w:num>
  <w:num w:numId="33" w16cid:durableId="1620144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0"/>
    <w:rsid w:val="00035D18"/>
    <w:rsid w:val="00063B27"/>
    <w:rsid w:val="00084868"/>
    <w:rsid w:val="0011481C"/>
    <w:rsid w:val="001355E3"/>
    <w:rsid w:val="00167F03"/>
    <w:rsid w:val="00183436"/>
    <w:rsid w:val="001A687E"/>
    <w:rsid w:val="0020702E"/>
    <w:rsid w:val="00262BD9"/>
    <w:rsid w:val="002D76E7"/>
    <w:rsid w:val="002D7BC1"/>
    <w:rsid w:val="002E152E"/>
    <w:rsid w:val="003123A0"/>
    <w:rsid w:val="003B388F"/>
    <w:rsid w:val="003E67DD"/>
    <w:rsid w:val="004C1B58"/>
    <w:rsid w:val="004D073B"/>
    <w:rsid w:val="004E5E81"/>
    <w:rsid w:val="004F0AD4"/>
    <w:rsid w:val="00541146"/>
    <w:rsid w:val="00547B22"/>
    <w:rsid w:val="005559D0"/>
    <w:rsid w:val="005E3DB2"/>
    <w:rsid w:val="00623085"/>
    <w:rsid w:val="0064349F"/>
    <w:rsid w:val="006647FD"/>
    <w:rsid w:val="00677B4B"/>
    <w:rsid w:val="006D3BC6"/>
    <w:rsid w:val="006E31C6"/>
    <w:rsid w:val="0071026C"/>
    <w:rsid w:val="00732E42"/>
    <w:rsid w:val="00763251"/>
    <w:rsid w:val="00765741"/>
    <w:rsid w:val="007E4331"/>
    <w:rsid w:val="008168FC"/>
    <w:rsid w:val="00832441"/>
    <w:rsid w:val="00897098"/>
    <w:rsid w:val="008A3A4F"/>
    <w:rsid w:val="008C4302"/>
    <w:rsid w:val="009213F8"/>
    <w:rsid w:val="00964331"/>
    <w:rsid w:val="009E7696"/>
    <w:rsid w:val="00A72FCB"/>
    <w:rsid w:val="00A85DDE"/>
    <w:rsid w:val="00AB0240"/>
    <w:rsid w:val="00B558A6"/>
    <w:rsid w:val="00BD000B"/>
    <w:rsid w:val="00BE1CE4"/>
    <w:rsid w:val="00C059D5"/>
    <w:rsid w:val="00C21FCB"/>
    <w:rsid w:val="00C74E96"/>
    <w:rsid w:val="00CD4C16"/>
    <w:rsid w:val="00D62271"/>
    <w:rsid w:val="00D66F5B"/>
    <w:rsid w:val="00D77E45"/>
    <w:rsid w:val="00D94840"/>
    <w:rsid w:val="00DB0032"/>
    <w:rsid w:val="00E038AC"/>
    <w:rsid w:val="00E17892"/>
    <w:rsid w:val="00E20AA7"/>
    <w:rsid w:val="00E326DA"/>
    <w:rsid w:val="00E7493E"/>
    <w:rsid w:val="00E92144"/>
    <w:rsid w:val="00EA4C27"/>
    <w:rsid w:val="00EB3FF7"/>
    <w:rsid w:val="00ED73F4"/>
    <w:rsid w:val="00EF5171"/>
    <w:rsid w:val="00F51D89"/>
    <w:rsid w:val="00F66994"/>
    <w:rsid w:val="00F72758"/>
    <w:rsid w:val="00F86057"/>
    <w:rsid w:val="00FD27AD"/>
    <w:rsid w:val="00F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A62C"/>
  <w15:chartTrackingRefBased/>
  <w15:docId w15:val="{F2FC9978-8AC7-46B4-A568-6588B72B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D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559D0"/>
    <w:pPr>
      <w:keepNext/>
      <w:outlineLvl w:val="0"/>
    </w:pPr>
    <w:rPr>
      <w:rFonts w:ascii="Arial" w:hAnsi="Arial"/>
      <w:b/>
    </w:rPr>
  </w:style>
  <w:style w:type="paragraph" w:styleId="Heading2">
    <w:name w:val="heading 2"/>
    <w:basedOn w:val="Normal"/>
    <w:next w:val="Normal"/>
    <w:link w:val="Heading2Char"/>
    <w:qFormat/>
    <w:rsid w:val="005559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9D0"/>
    <w:rPr>
      <w:rFonts w:ascii="Arial" w:eastAsia="Times New Roman" w:hAnsi="Arial" w:cs="Times New Roman"/>
      <w:b/>
      <w:sz w:val="24"/>
      <w:szCs w:val="20"/>
    </w:rPr>
  </w:style>
  <w:style w:type="character" w:customStyle="1" w:styleId="Heading2Char">
    <w:name w:val="Heading 2 Char"/>
    <w:basedOn w:val="DefaultParagraphFont"/>
    <w:link w:val="Heading2"/>
    <w:rsid w:val="005559D0"/>
    <w:rPr>
      <w:rFonts w:ascii="Times New Roman" w:eastAsia="Times New Roman" w:hAnsi="Times New Roman" w:cs="Times New Roman"/>
      <w:b/>
      <w:spacing w:val="-3"/>
      <w:szCs w:val="20"/>
    </w:rPr>
  </w:style>
  <w:style w:type="paragraph" w:styleId="TOC1">
    <w:name w:val="toc 1"/>
    <w:basedOn w:val="Normal"/>
    <w:next w:val="Normal"/>
    <w:uiPriority w:val="39"/>
    <w:rsid w:val="005559D0"/>
    <w:pPr>
      <w:tabs>
        <w:tab w:val="left" w:leader="dot" w:pos="9000"/>
        <w:tab w:val="right" w:pos="9360"/>
      </w:tabs>
      <w:suppressAutoHyphens/>
      <w:spacing w:before="480"/>
      <w:ind w:left="720" w:right="720" w:hanging="720"/>
    </w:pPr>
  </w:style>
  <w:style w:type="paragraph" w:styleId="TOC2">
    <w:name w:val="toc 2"/>
    <w:basedOn w:val="Normal"/>
    <w:next w:val="Normal"/>
    <w:semiHidden/>
    <w:rsid w:val="005559D0"/>
    <w:pPr>
      <w:tabs>
        <w:tab w:val="left" w:leader="dot" w:pos="9000"/>
        <w:tab w:val="right" w:pos="9360"/>
      </w:tabs>
      <w:suppressAutoHyphens/>
      <w:ind w:left="1440" w:right="720" w:hanging="720"/>
    </w:pPr>
  </w:style>
  <w:style w:type="paragraph" w:styleId="TOC3">
    <w:name w:val="toc 3"/>
    <w:basedOn w:val="Normal"/>
    <w:next w:val="Normal"/>
    <w:semiHidden/>
    <w:rsid w:val="005559D0"/>
    <w:pPr>
      <w:tabs>
        <w:tab w:val="left" w:leader="dot" w:pos="9000"/>
        <w:tab w:val="right" w:pos="9360"/>
      </w:tabs>
      <w:suppressAutoHyphens/>
      <w:ind w:left="2160" w:right="720" w:hanging="720"/>
    </w:pPr>
  </w:style>
  <w:style w:type="paragraph" w:styleId="TOC4">
    <w:name w:val="toc 4"/>
    <w:basedOn w:val="Normal"/>
    <w:next w:val="Normal"/>
    <w:semiHidden/>
    <w:rsid w:val="005559D0"/>
    <w:pPr>
      <w:tabs>
        <w:tab w:val="left" w:leader="dot" w:pos="9000"/>
        <w:tab w:val="right" w:pos="9360"/>
      </w:tabs>
      <w:suppressAutoHyphens/>
      <w:ind w:left="2880" w:right="720" w:hanging="720"/>
    </w:pPr>
  </w:style>
  <w:style w:type="paragraph" w:styleId="TOC5">
    <w:name w:val="toc 5"/>
    <w:basedOn w:val="Normal"/>
    <w:next w:val="Normal"/>
    <w:semiHidden/>
    <w:rsid w:val="005559D0"/>
    <w:pPr>
      <w:tabs>
        <w:tab w:val="left" w:leader="dot" w:pos="9000"/>
        <w:tab w:val="right" w:pos="9360"/>
      </w:tabs>
      <w:suppressAutoHyphens/>
      <w:ind w:left="3600" w:right="720" w:hanging="720"/>
    </w:pPr>
  </w:style>
  <w:style w:type="paragraph" w:styleId="TOC6">
    <w:name w:val="toc 6"/>
    <w:basedOn w:val="Normal"/>
    <w:next w:val="Normal"/>
    <w:semiHidden/>
    <w:rsid w:val="005559D0"/>
    <w:pPr>
      <w:tabs>
        <w:tab w:val="left" w:pos="9000"/>
        <w:tab w:val="right" w:pos="9360"/>
      </w:tabs>
      <w:suppressAutoHyphens/>
      <w:ind w:left="720" w:hanging="720"/>
    </w:pPr>
  </w:style>
  <w:style w:type="paragraph" w:styleId="TOC7">
    <w:name w:val="toc 7"/>
    <w:basedOn w:val="Normal"/>
    <w:next w:val="Normal"/>
    <w:semiHidden/>
    <w:rsid w:val="005559D0"/>
    <w:pPr>
      <w:suppressAutoHyphens/>
      <w:ind w:left="720" w:hanging="720"/>
    </w:pPr>
  </w:style>
  <w:style w:type="paragraph" w:styleId="TOC8">
    <w:name w:val="toc 8"/>
    <w:basedOn w:val="Normal"/>
    <w:next w:val="Normal"/>
    <w:semiHidden/>
    <w:rsid w:val="005559D0"/>
    <w:pPr>
      <w:tabs>
        <w:tab w:val="left" w:pos="9000"/>
        <w:tab w:val="right" w:pos="9360"/>
      </w:tabs>
      <w:suppressAutoHyphens/>
      <w:ind w:left="720" w:hanging="720"/>
    </w:pPr>
  </w:style>
  <w:style w:type="paragraph" w:styleId="TOC9">
    <w:name w:val="toc 9"/>
    <w:basedOn w:val="Normal"/>
    <w:next w:val="Normal"/>
    <w:semiHidden/>
    <w:rsid w:val="005559D0"/>
    <w:pPr>
      <w:tabs>
        <w:tab w:val="left" w:leader="dot" w:pos="9000"/>
        <w:tab w:val="right" w:pos="9360"/>
      </w:tabs>
      <w:suppressAutoHyphens/>
      <w:ind w:left="720" w:hanging="720"/>
    </w:pPr>
  </w:style>
  <w:style w:type="paragraph" w:styleId="Index1">
    <w:name w:val="index 1"/>
    <w:basedOn w:val="Normal"/>
    <w:next w:val="Normal"/>
    <w:semiHidden/>
    <w:rsid w:val="005559D0"/>
    <w:pPr>
      <w:tabs>
        <w:tab w:val="left" w:leader="dot" w:pos="9000"/>
        <w:tab w:val="right" w:pos="9360"/>
      </w:tabs>
      <w:suppressAutoHyphens/>
      <w:ind w:left="1440" w:right="720" w:hanging="1440"/>
    </w:pPr>
  </w:style>
  <w:style w:type="paragraph" w:styleId="Index2">
    <w:name w:val="index 2"/>
    <w:basedOn w:val="Normal"/>
    <w:next w:val="Normal"/>
    <w:semiHidden/>
    <w:rsid w:val="005559D0"/>
    <w:pPr>
      <w:tabs>
        <w:tab w:val="left" w:leader="dot" w:pos="9000"/>
        <w:tab w:val="right" w:pos="9360"/>
      </w:tabs>
      <w:suppressAutoHyphens/>
      <w:ind w:left="1440" w:right="720" w:hanging="720"/>
    </w:pPr>
  </w:style>
  <w:style w:type="paragraph" w:styleId="TOAHeading">
    <w:name w:val="toa heading"/>
    <w:basedOn w:val="Normal"/>
    <w:next w:val="Normal"/>
    <w:semiHidden/>
    <w:rsid w:val="005559D0"/>
    <w:pPr>
      <w:tabs>
        <w:tab w:val="left" w:pos="9000"/>
        <w:tab w:val="right" w:pos="9360"/>
      </w:tabs>
      <w:suppressAutoHyphens/>
    </w:pPr>
  </w:style>
  <w:style w:type="paragraph" w:styleId="Caption">
    <w:name w:val="caption"/>
    <w:basedOn w:val="Normal"/>
    <w:next w:val="Normal"/>
    <w:qFormat/>
    <w:rsid w:val="005559D0"/>
  </w:style>
  <w:style w:type="character" w:customStyle="1" w:styleId="EquationCaption">
    <w:name w:val="_Equation Caption"/>
    <w:rsid w:val="005559D0"/>
  </w:style>
  <w:style w:type="paragraph" w:styleId="Footer">
    <w:name w:val="footer"/>
    <w:basedOn w:val="Normal"/>
    <w:link w:val="FooterChar"/>
    <w:uiPriority w:val="99"/>
    <w:rsid w:val="005559D0"/>
    <w:pPr>
      <w:tabs>
        <w:tab w:val="center" w:pos="4320"/>
        <w:tab w:val="right" w:pos="8640"/>
      </w:tabs>
    </w:pPr>
  </w:style>
  <w:style w:type="character" w:customStyle="1" w:styleId="FooterChar">
    <w:name w:val="Footer Char"/>
    <w:basedOn w:val="DefaultParagraphFont"/>
    <w:link w:val="Footer"/>
    <w:uiPriority w:val="99"/>
    <w:rsid w:val="005559D0"/>
    <w:rPr>
      <w:rFonts w:ascii="Times New Roman" w:eastAsia="Times New Roman" w:hAnsi="Times New Roman" w:cs="Times New Roman"/>
      <w:sz w:val="24"/>
      <w:szCs w:val="20"/>
    </w:rPr>
  </w:style>
  <w:style w:type="paragraph" w:styleId="Header">
    <w:name w:val="header"/>
    <w:basedOn w:val="Normal"/>
    <w:link w:val="HeaderChar"/>
    <w:rsid w:val="005559D0"/>
    <w:pPr>
      <w:tabs>
        <w:tab w:val="center" w:pos="4320"/>
        <w:tab w:val="right" w:pos="8640"/>
      </w:tabs>
    </w:pPr>
  </w:style>
  <w:style w:type="character" w:customStyle="1" w:styleId="HeaderChar">
    <w:name w:val="Header Char"/>
    <w:basedOn w:val="DefaultParagraphFont"/>
    <w:link w:val="Header"/>
    <w:rsid w:val="005559D0"/>
    <w:rPr>
      <w:rFonts w:ascii="Times New Roman" w:eastAsia="Times New Roman" w:hAnsi="Times New Roman" w:cs="Times New Roman"/>
      <w:sz w:val="24"/>
      <w:szCs w:val="20"/>
    </w:rPr>
  </w:style>
  <w:style w:type="paragraph" w:styleId="BodyText">
    <w:name w:val="Body Text"/>
    <w:basedOn w:val="Normal"/>
    <w:link w:val="BodyTextChar"/>
    <w:rsid w:val="005559D0"/>
    <w:pPr>
      <w:tabs>
        <w:tab w:val="center" w:pos="4680"/>
      </w:tabs>
      <w:suppressAutoHyphens/>
      <w:jc w:val="both"/>
    </w:pPr>
  </w:style>
  <w:style w:type="character" w:customStyle="1" w:styleId="BodyTextChar">
    <w:name w:val="Body Text Char"/>
    <w:basedOn w:val="DefaultParagraphFont"/>
    <w:link w:val="BodyText"/>
    <w:rsid w:val="005559D0"/>
    <w:rPr>
      <w:rFonts w:ascii="Times New Roman" w:eastAsia="Times New Roman" w:hAnsi="Times New Roman" w:cs="Times New Roman"/>
      <w:sz w:val="24"/>
      <w:szCs w:val="20"/>
    </w:rPr>
  </w:style>
  <w:style w:type="paragraph" w:styleId="BodyText2">
    <w:name w:val="Body Text 2"/>
    <w:basedOn w:val="Normal"/>
    <w:link w:val="BodyText2Char"/>
    <w:rsid w:val="005559D0"/>
    <w:pPr>
      <w:spacing w:after="120" w:line="480" w:lineRule="auto"/>
    </w:pPr>
  </w:style>
  <w:style w:type="character" w:customStyle="1" w:styleId="BodyText2Char">
    <w:name w:val="Body Text 2 Char"/>
    <w:basedOn w:val="DefaultParagraphFont"/>
    <w:link w:val="BodyText2"/>
    <w:rsid w:val="005559D0"/>
    <w:rPr>
      <w:rFonts w:ascii="Times New Roman" w:eastAsia="Times New Roman" w:hAnsi="Times New Roman" w:cs="Times New Roman"/>
      <w:sz w:val="24"/>
      <w:szCs w:val="20"/>
    </w:rPr>
  </w:style>
  <w:style w:type="paragraph" w:styleId="BodyText3">
    <w:name w:val="Body Text 3"/>
    <w:basedOn w:val="Normal"/>
    <w:link w:val="BodyText3Char"/>
    <w:rsid w:val="005559D0"/>
    <w:pPr>
      <w:spacing w:after="120"/>
    </w:pPr>
    <w:rPr>
      <w:sz w:val="16"/>
      <w:szCs w:val="16"/>
    </w:rPr>
  </w:style>
  <w:style w:type="character" w:customStyle="1" w:styleId="BodyText3Char">
    <w:name w:val="Body Text 3 Char"/>
    <w:basedOn w:val="DefaultParagraphFont"/>
    <w:link w:val="BodyText3"/>
    <w:rsid w:val="005559D0"/>
    <w:rPr>
      <w:rFonts w:ascii="Times New Roman" w:eastAsia="Times New Roman" w:hAnsi="Times New Roman" w:cs="Times New Roman"/>
      <w:sz w:val="16"/>
      <w:szCs w:val="16"/>
    </w:rPr>
  </w:style>
  <w:style w:type="paragraph" w:styleId="BalloonText">
    <w:name w:val="Balloon Text"/>
    <w:basedOn w:val="Normal"/>
    <w:link w:val="BalloonTextChar"/>
    <w:semiHidden/>
    <w:rsid w:val="005559D0"/>
    <w:rPr>
      <w:rFonts w:ascii="Tahoma" w:hAnsi="Tahoma" w:cs="Tahoma"/>
      <w:sz w:val="16"/>
      <w:szCs w:val="16"/>
    </w:rPr>
  </w:style>
  <w:style w:type="character" w:customStyle="1" w:styleId="BalloonTextChar">
    <w:name w:val="Balloon Text Char"/>
    <w:basedOn w:val="DefaultParagraphFont"/>
    <w:link w:val="BalloonText"/>
    <w:semiHidden/>
    <w:rsid w:val="005559D0"/>
    <w:rPr>
      <w:rFonts w:ascii="Tahoma" w:eastAsia="Times New Roman" w:hAnsi="Tahoma" w:cs="Tahoma"/>
      <w:sz w:val="16"/>
      <w:szCs w:val="16"/>
    </w:rPr>
  </w:style>
  <w:style w:type="character" w:styleId="CommentReference">
    <w:name w:val="annotation reference"/>
    <w:semiHidden/>
    <w:rsid w:val="005559D0"/>
    <w:rPr>
      <w:sz w:val="16"/>
      <w:szCs w:val="16"/>
    </w:rPr>
  </w:style>
  <w:style w:type="paragraph" w:styleId="CommentText">
    <w:name w:val="annotation text"/>
    <w:basedOn w:val="Normal"/>
    <w:link w:val="CommentTextChar"/>
    <w:semiHidden/>
    <w:rsid w:val="005559D0"/>
    <w:rPr>
      <w:sz w:val="20"/>
    </w:rPr>
  </w:style>
  <w:style w:type="character" w:customStyle="1" w:styleId="CommentTextChar">
    <w:name w:val="Comment Text Char"/>
    <w:basedOn w:val="DefaultParagraphFont"/>
    <w:link w:val="CommentText"/>
    <w:semiHidden/>
    <w:rsid w:val="00555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559D0"/>
    <w:rPr>
      <w:b/>
      <w:bCs/>
    </w:rPr>
  </w:style>
  <w:style w:type="character" w:customStyle="1" w:styleId="CommentSubjectChar">
    <w:name w:val="Comment Subject Char"/>
    <w:basedOn w:val="CommentTextChar"/>
    <w:link w:val="CommentSubject"/>
    <w:semiHidden/>
    <w:rsid w:val="005559D0"/>
    <w:rPr>
      <w:rFonts w:ascii="Times New Roman" w:eastAsia="Times New Roman" w:hAnsi="Times New Roman" w:cs="Times New Roman"/>
      <w:b/>
      <w:bCs/>
      <w:sz w:val="20"/>
      <w:szCs w:val="20"/>
    </w:rPr>
  </w:style>
  <w:style w:type="character" w:styleId="PageNumber">
    <w:name w:val="page number"/>
    <w:basedOn w:val="DefaultParagraphFont"/>
    <w:rsid w:val="005559D0"/>
  </w:style>
  <w:style w:type="table" w:styleId="TableGrid">
    <w:name w:val="Table Grid"/>
    <w:basedOn w:val="TableNormal"/>
    <w:rsid w:val="005559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59D0"/>
    <w:rPr>
      <w:color w:val="0000FF"/>
      <w:u w:val="single"/>
    </w:rPr>
  </w:style>
  <w:style w:type="paragraph" w:styleId="BodyTextIndent">
    <w:name w:val="Body Text Indent"/>
    <w:basedOn w:val="Normal"/>
    <w:link w:val="BodyTextIndentChar"/>
    <w:rsid w:val="005559D0"/>
    <w:pPr>
      <w:spacing w:after="120"/>
      <w:ind w:left="360"/>
    </w:pPr>
  </w:style>
  <w:style w:type="character" w:customStyle="1" w:styleId="BodyTextIndentChar">
    <w:name w:val="Body Text Indent Char"/>
    <w:basedOn w:val="DefaultParagraphFont"/>
    <w:link w:val="BodyTextIndent"/>
    <w:rsid w:val="005559D0"/>
    <w:rPr>
      <w:rFonts w:ascii="Times New Roman" w:eastAsia="Times New Roman" w:hAnsi="Times New Roman" w:cs="Times New Roman"/>
      <w:sz w:val="24"/>
      <w:szCs w:val="20"/>
    </w:rPr>
  </w:style>
  <w:style w:type="paragraph" w:styleId="DocumentMap">
    <w:name w:val="Document Map"/>
    <w:basedOn w:val="Normal"/>
    <w:link w:val="DocumentMapChar"/>
    <w:semiHidden/>
    <w:rsid w:val="005559D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559D0"/>
    <w:rPr>
      <w:rFonts w:ascii="Tahoma" w:eastAsia="Times New Roman" w:hAnsi="Tahoma" w:cs="Tahoma"/>
      <w:sz w:val="20"/>
      <w:szCs w:val="20"/>
      <w:shd w:val="clear" w:color="auto" w:fill="000080"/>
    </w:rPr>
  </w:style>
  <w:style w:type="paragraph" w:customStyle="1" w:styleId="style1">
    <w:name w:val="style1"/>
    <w:basedOn w:val="Normal"/>
    <w:rsid w:val="005559D0"/>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5559D0"/>
    <w:rPr>
      <w:color w:val="605E5C"/>
      <w:shd w:val="clear" w:color="auto" w:fill="E1DFDD"/>
    </w:rPr>
  </w:style>
  <w:style w:type="paragraph" w:styleId="Title">
    <w:name w:val="Title"/>
    <w:basedOn w:val="Normal"/>
    <w:next w:val="Normal"/>
    <w:link w:val="TitleChar"/>
    <w:qFormat/>
    <w:rsid w:val="00555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59D0"/>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5559D0"/>
    <w:pPr>
      <w:spacing w:after="0" w:line="240" w:lineRule="auto"/>
    </w:pPr>
    <w:rPr>
      <w:rFonts w:eastAsiaTheme="minorEastAsia"/>
    </w:rPr>
  </w:style>
  <w:style w:type="character" w:customStyle="1" w:styleId="NoSpacingChar">
    <w:name w:val="No Spacing Char"/>
    <w:basedOn w:val="DefaultParagraphFont"/>
    <w:link w:val="NoSpacing"/>
    <w:uiPriority w:val="1"/>
    <w:rsid w:val="005559D0"/>
    <w:rPr>
      <w:rFonts w:eastAsiaTheme="minorEastAsia"/>
    </w:rPr>
  </w:style>
  <w:style w:type="paragraph" w:styleId="TOCHeading">
    <w:name w:val="TOC Heading"/>
    <w:basedOn w:val="Heading1"/>
    <w:next w:val="Normal"/>
    <w:uiPriority w:val="39"/>
    <w:unhideWhenUsed/>
    <w:qFormat/>
    <w:rsid w:val="005559D0"/>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677B4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ate xmlns="0772689b-326b-46a5-b84c-c726c57fb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57020-B74A-4704-965A-0CF7BFB9CC36}">
  <ds:schemaRefs>
    <ds:schemaRef ds:uri="http://schemas.microsoft.com/sharepoint/v3/contenttype/forms"/>
  </ds:schemaRefs>
</ds:datastoreItem>
</file>

<file path=customXml/itemProps2.xml><?xml version="1.0" encoding="utf-8"?>
<ds:datastoreItem xmlns:ds="http://schemas.openxmlformats.org/officeDocument/2006/customXml" ds:itemID="{2A9FA647-74C3-458D-B96E-4073DEC4A455}">
  <ds:schemaRefs>
    <ds:schemaRef ds:uri="9ee3d2ba-7328-44ae-87fe-aca0b3dbec46"/>
    <ds:schemaRef ds:uri="http://schemas.microsoft.com/office/2006/documentManagement/types"/>
    <ds:schemaRef ds:uri="http://schemas.microsoft.com/office/2006/metadata/properties"/>
    <ds:schemaRef ds:uri="http://purl.org/dc/terms/"/>
    <ds:schemaRef ds:uri="0772689b-326b-46a5-b84c-c726c57fbc8b"/>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40DF92E-5AFB-47CA-BB96-68DD55B5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Barry</dc:creator>
  <cp:keywords/>
  <dc:description/>
  <cp:lastModifiedBy>Patrick Hunter</cp:lastModifiedBy>
  <cp:revision>5</cp:revision>
  <dcterms:created xsi:type="dcterms:W3CDTF">2025-01-15T19:37:00Z</dcterms:created>
  <dcterms:modified xsi:type="dcterms:W3CDTF">2025-01-20T17:52:00Z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