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D06A83" w14:textId="77777777" w:rsidR="00E416A6" w:rsidRDefault="00E416A6" w:rsidP="0001711E">
      <w:pPr>
        <w:spacing w:after="0" w:line="240" w:lineRule="auto"/>
        <w:jc w:val="center"/>
        <w:rPr>
          <w:rFonts w:ascii="Garamond" w:hAnsi="Garamond"/>
          <w:b/>
          <w:color w:val="1F497D" w:themeColor="text2"/>
        </w:rPr>
      </w:pPr>
    </w:p>
    <w:p w14:paraId="0B92F80A" w14:textId="77777777" w:rsidR="00E416A6" w:rsidRDefault="00E416A6" w:rsidP="0001711E">
      <w:pPr>
        <w:spacing w:after="0" w:line="240" w:lineRule="auto"/>
        <w:jc w:val="center"/>
        <w:rPr>
          <w:rFonts w:ascii="Garamond" w:hAnsi="Garamond"/>
          <w:b/>
          <w:color w:val="1F497D" w:themeColor="text2"/>
        </w:rPr>
      </w:pPr>
    </w:p>
    <w:p w14:paraId="20423FF2" w14:textId="77777777" w:rsidR="00E416A6" w:rsidRDefault="00E416A6" w:rsidP="0001711E">
      <w:pPr>
        <w:spacing w:after="0" w:line="240" w:lineRule="auto"/>
        <w:jc w:val="center"/>
        <w:rPr>
          <w:rFonts w:ascii="Garamond" w:hAnsi="Garamond"/>
          <w:b/>
          <w:color w:val="1F497D" w:themeColor="text2"/>
        </w:rPr>
      </w:pPr>
    </w:p>
    <w:p w14:paraId="289BF61D" w14:textId="77777777" w:rsidR="00E416A6" w:rsidRDefault="00E416A6" w:rsidP="0001711E">
      <w:pPr>
        <w:spacing w:after="0" w:line="240" w:lineRule="auto"/>
        <w:jc w:val="center"/>
        <w:rPr>
          <w:rFonts w:ascii="Garamond" w:hAnsi="Garamond"/>
          <w:b/>
          <w:color w:val="1F497D" w:themeColor="text2"/>
        </w:rPr>
      </w:pPr>
    </w:p>
    <w:p w14:paraId="023D9027" w14:textId="77777777" w:rsidR="00E416A6" w:rsidRDefault="00E416A6" w:rsidP="0001711E">
      <w:pPr>
        <w:spacing w:after="0" w:line="240" w:lineRule="auto"/>
        <w:jc w:val="center"/>
        <w:rPr>
          <w:rFonts w:ascii="Garamond" w:hAnsi="Garamond"/>
          <w:b/>
          <w:color w:val="1F497D" w:themeColor="text2"/>
        </w:rPr>
      </w:pPr>
    </w:p>
    <w:p w14:paraId="0ECFE4F0" w14:textId="77777777" w:rsidR="00E416A6" w:rsidRDefault="00E416A6" w:rsidP="0001711E">
      <w:pPr>
        <w:spacing w:after="0" w:line="240" w:lineRule="auto"/>
        <w:jc w:val="center"/>
        <w:rPr>
          <w:rFonts w:ascii="Garamond" w:hAnsi="Garamond"/>
          <w:b/>
          <w:color w:val="1F497D" w:themeColor="text2"/>
        </w:rPr>
      </w:pPr>
    </w:p>
    <w:p w14:paraId="588E8A94" w14:textId="77777777" w:rsidR="00E416A6" w:rsidRPr="00E416A6" w:rsidRDefault="00E416A6" w:rsidP="00E416A6">
      <w:pPr>
        <w:spacing w:after="0" w:line="240" w:lineRule="auto"/>
        <w:rPr>
          <w:rFonts w:ascii="Helvetica Neue Bold Condensed" w:hAnsi="Helvetica Neue Bold Condensed"/>
          <w:color w:val="1F497D" w:themeColor="text2"/>
          <w:sz w:val="48"/>
          <w:szCs w:val="48"/>
        </w:rPr>
      </w:pPr>
    </w:p>
    <w:p w14:paraId="6F6733DE" w14:textId="77777777" w:rsidR="00E416A6" w:rsidRPr="00302316" w:rsidRDefault="00E416A6" w:rsidP="00E416A6">
      <w:pPr>
        <w:pStyle w:val="CalloutQuotes"/>
        <w:spacing w:after="270" w:line="276" w:lineRule="auto"/>
        <w:jc w:val="center"/>
        <w:rPr>
          <w:rFonts w:ascii="Calibri" w:hAnsi="Calibri" w:cs="Times New Roman"/>
          <w:b/>
          <w:bCs/>
          <w:color w:val="1F497D" w:themeColor="text2"/>
          <w:spacing w:val="0"/>
          <w:sz w:val="32"/>
          <w:szCs w:val="32"/>
        </w:rPr>
      </w:pPr>
      <w:r w:rsidRPr="00302316">
        <w:rPr>
          <w:rFonts w:ascii="Calibri" w:hAnsi="Calibri" w:cs="Times New Roman"/>
          <w:b/>
          <w:bCs/>
          <w:color w:val="1F497D" w:themeColor="text2"/>
          <w:spacing w:val="0"/>
          <w:sz w:val="32"/>
          <w:szCs w:val="32"/>
        </w:rPr>
        <w:t>CENTER FOR HEALTH</w:t>
      </w:r>
      <w:r w:rsidRPr="00302316">
        <w:rPr>
          <w:rFonts w:ascii="Calibri" w:hAnsi="Calibri" w:cs="Times New Roman"/>
          <w:b/>
          <w:bCs/>
          <w:color w:val="1F497D" w:themeColor="text2"/>
          <w:spacing w:val="0"/>
          <w:sz w:val="32"/>
          <w:szCs w:val="32"/>
        </w:rPr>
        <w:br/>
        <w:t>INFORMATION AND ANALYSIS</w:t>
      </w:r>
    </w:p>
    <w:p w14:paraId="653DBF43" w14:textId="77777777" w:rsidR="00E416A6" w:rsidRDefault="00E416A6" w:rsidP="0001711E">
      <w:pPr>
        <w:spacing w:after="0" w:line="240" w:lineRule="auto"/>
        <w:jc w:val="center"/>
        <w:rPr>
          <w:rFonts w:ascii="Garamond" w:hAnsi="Garamond"/>
          <w:b/>
          <w:color w:val="1F497D" w:themeColor="text2"/>
        </w:rPr>
      </w:pPr>
      <w:r>
        <w:rPr>
          <w:rFonts w:ascii="Garamond" w:hAnsi="Garamond"/>
          <w:b/>
          <w:noProof/>
          <w:color w:val="1F497D" w:themeColor="text2"/>
        </w:rPr>
        <mc:AlternateContent>
          <mc:Choice Requires="wps">
            <w:drawing>
              <wp:anchor distT="0" distB="0" distL="114300" distR="114300" simplePos="0" relativeHeight="251659264" behindDoc="0" locked="0" layoutInCell="1" allowOverlap="1" wp14:anchorId="7F245B0C" wp14:editId="30C5C89B">
                <wp:simplePos x="0" y="0"/>
                <wp:positionH relativeFrom="column">
                  <wp:posOffset>457200</wp:posOffset>
                </wp:positionH>
                <wp:positionV relativeFrom="paragraph">
                  <wp:posOffset>123190</wp:posOffset>
                </wp:positionV>
                <wp:extent cx="5486400" cy="0"/>
                <wp:effectExtent l="0" t="0" r="25400" b="25400"/>
                <wp:wrapNone/>
                <wp:docPr id="1" name="Straight Connector 1"/>
                <wp:cNvGraphicFramePr/>
                <a:graphic xmlns:a="http://schemas.openxmlformats.org/drawingml/2006/main">
                  <a:graphicData uri="http://schemas.microsoft.com/office/word/2010/wordprocessingShape">
                    <wps:wsp>
                      <wps:cNvCnPr/>
                      <wps:spPr>
                        <a:xfrm>
                          <a:off x="0" y="0"/>
                          <a:ext cx="5486400" cy="0"/>
                        </a:xfrm>
                        <a:prstGeom prst="line">
                          <a:avLst/>
                        </a:prstGeom>
                        <a:ln w="6350" cmpd="sng">
                          <a:solidFill>
                            <a:schemeClr val="bg1">
                              <a:lumMod val="6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6pt,9.7pt" to="468pt,9.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" strokecolor="#a5a5a5 [2092]" strokeweight=".5pt"/>
            </w:pict>
          </mc:Fallback>
        </mc:AlternateContent>
      </w:r>
    </w:p>
    <w:p w14:paraId="0CDF51AC" w14:textId="77777777" w:rsidR="00E416A6" w:rsidRPr="00302316" w:rsidRDefault="00E416A6" w:rsidP="00E416A6">
      <w:pPr>
        <w:spacing w:after="0" w:line="240" w:lineRule="auto"/>
        <w:jc w:val="center"/>
        <w:rPr>
          <w:b/>
          <w:color w:val="1F497D" w:themeColor="text2"/>
          <w:sz w:val="48"/>
          <w:szCs w:val="48"/>
        </w:rPr>
      </w:pPr>
      <w:r w:rsidRPr="00302316">
        <w:rPr>
          <w:b/>
          <w:color w:val="1F497D" w:themeColor="text2"/>
          <w:sz w:val="48"/>
          <w:szCs w:val="48"/>
        </w:rPr>
        <w:t>ANNUAL REPORT ON THE</w:t>
      </w:r>
    </w:p>
    <w:p w14:paraId="6E4CEF46" w14:textId="77777777" w:rsidR="00E416A6" w:rsidRPr="00302316" w:rsidRDefault="00E416A6" w:rsidP="00E416A6">
      <w:pPr>
        <w:spacing w:after="0" w:line="240" w:lineRule="auto"/>
        <w:jc w:val="center"/>
        <w:rPr>
          <w:b/>
          <w:color w:val="1F497D" w:themeColor="text2"/>
          <w:sz w:val="48"/>
          <w:szCs w:val="48"/>
        </w:rPr>
      </w:pPr>
      <w:r w:rsidRPr="00302316">
        <w:rPr>
          <w:b/>
          <w:color w:val="1F497D" w:themeColor="text2"/>
          <w:sz w:val="48"/>
          <w:szCs w:val="48"/>
        </w:rPr>
        <w:t>PERFORMANCE OF THE MASSACHUSETTS</w:t>
      </w:r>
      <w:r w:rsidRPr="00302316">
        <w:rPr>
          <w:b/>
          <w:color w:val="1F497D" w:themeColor="text2"/>
          <w:sz w:val="48"/>
          <w:szCs w:val="48"/>
        </w:rPr>
        <w:br/>
        <w:t>HEALTH CARE SYSTEM</w:t>
      </w:r>
    </w:p>
    <w:p w14:paraId="18844EB0" w14:textId="77777777" w:rsidR="00E416A6" w:rsidRDefault="00E416A6" w:rsidP="0001711E">
      <w:pPr>
        <w:spacing w:after="0" w:line="240" w:lineRule="auto"/>
        <w:jc w:val="center"/>
        <w:rPr>
          <w:rFonts w:ascii="Garamond" w:hAnsi="Garamond"/>
          <w:b/>
          <w:color w:val="1F497D" w:themeColor="text2"/>
        </w:rPr>
      </w:pPr>
      <w:r>
        <w:rPr>
          <w:rFonts w:ascii="Garamond" w:hAnsi="Garamond"/>
          <w:b/>
          <w:noProof/>
          <w:color w:val="1F497D" w:themeColor="text2"/>
        </w:rPr>
        <mc:AlternateContent>
          <mc:Choice Requires="wps">
            <w:drawing>
              <wp:anchor distT="0" distB="0" distL="114300" distR="114300" simplePos="0" relativeHeight="251661312" behindDoc="0" locked="0" layoutInCell="1" allowOverlap="1" wp14:anchorId="2EADB5DB" wp14:editId="59265A57">
                <wp:simplePos x="0" y="0"/>
                <wp:positionH relativeFrom="column">
                  <wp:posOffset>457200</wp:posOffset>
                </wp:positionH>
                <wp:positionV relativeFrom="paragraph">
                  <wp:posOffset>116840</wp:posOffset>
                </wp:positionV>
                <wp:extent cx="5486400" cy="0"/>
                <wp:effectExtent l="0" t="0" r="25400" b="25400"/>
                <wp:wrapNone/>
                <wp:docPr id="2" name="Straight Connector 2"/>
                <wp:cNvGraphicFramePr/>
                <a:graphic xmlns:a="http://schemas.openxmlformats.org/drawingml/2006/main">
                  <a:graphicData uri="http://schemas.microsoft.com/office/word/2010/wordprocessingShape">
                    <wps:wsp>
                      <wps:cNvCnPr/>
                      <wps:spPr>
                        <a:xfrm>
                          <a:off x="0" y="0"/>
                          <a:ext cx="5486400" cy="0"/>
                        </a:xfrm>
                        <a:prstGeom prst="line">
                          <a:avLst/>
                        </a:prstGeom>
                        <a:ln w="6350" cmpd="sng">
                          <a:solidFill>
                            <a:schemeClr val="bg1">
                              <a:lumMod val="6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6pt,9.2pt" to="468pt,9.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" strokecolor="#a5a5a5 [2092]" strokeweight=".5pt"/>
            </w:pict>
          </mc:Fallback>
        </mc:AlternateContent>
      </w:r>
    </w:p>
    <w:p w14:paraId="26CB6BF6" w14:textId="77777777" w:rsidR="00E416A6" w:rsidRDefault="00E416A6" w:rsidP="0001711E">
      <w:pPr>
        <w:spacing w:after="0" w:line="240" w:lineRule="auto"/>
        <w:jc w:val="center"/>
        <w:rPr>
          <w:rFonts w:ascii="Garamond" w:hAnsi="Garamond"/>
          <w:b/>
          <w:color w:val="1F497D" w:themeColor="text2"/>
        </w:rPr>
      </w:pPr>
    </w:p>
    <w:p w14:paraId="64F994C8" w14:textId="77777777" w:rsidR="00E416A6" w:rsidRDefault="00E416A6" w:rsidP="0001711E">
      <w:pPr>
        <w:spacing w:after="0" w:line="240" w:lineRule="auto"/>
        <w:jc w:val="center"/>
        <w:rPr>
          <w:rFonts w:ascii="Garamond" w:hAnsi="Garamond"/>
          <w:b/>
          <w:color w:val="1F497D" w:themeColor="text2"/>
        </w:rPr>
      </w:pPr>
    </w:p>
    <w:p w14:paraId="55CDA362" w14:textId="77777777" w:rsidR="00E416A6" w:rsidRDefault="00E416A6" w:rsidP="0001711E">
      <w:pPr>
        <w:spacing w:after="0" w:line="240" w:lineRule="auto"/>
        <w:jc w:val="center"/>
        <w:rPr>
          <w:rFonts w:ascii="Garamond" w:hAnsi="Garamond"/>
          <w:b/>
          <w:color w:val="1F497D" w:themeColor="text2"/>
        </w:rPr>
      </w:pPr>
    </w:p>
    <w:p w14:paraId="4D01C190" w14:textId="77777777" w:rsidR="00E416A6" w:rsidRDefault="00E416A6" w:rsidP="0001711E">
      <w:pPr>
        <w:spacing w:after="0" w:line="240" w:lineRule="auto"/>
        <w:jc w:val="center"/>
        <w:rPr>
          <w:rFonts w:ascii="Garamond" w:hAnsi="Garamond"/>
          <w:b/>
          <w:color w:val="1F497D" w:themeColor="text2"/>
        </w:rPr>
      </w:pPr>
    </w:p>
    <w:p w14:paraId="576B9EC8" w14:textId="77777777" w:rsidR="00E416A6" w:rsidRDefault="00E416A6" w:rsidP="0001711E">
      <w:pPr>
        <w:spacing w:after="0" w:line="240" w:lineRule="auto"/>
        <w:jc w:val="center"/>
        <w:rPr>
          <w:rFonts w:ascii="Garamond" w:hAnsi="Garamond"/>
          <w:b/>
          <w:color w:val="1F497D" w:themeColor="text2"/>
        </w:rPr>
      </w:pPr>
    </w:p>
    <w:p w14:paraId="56B746F5" w14:textId="77777777" w:rsidR="00E416A6" w:rsidRDefault="00E416A6" w:rsidP="0001711E">
      <w:pPr>
        <w:spacing w:after="0" w:line="240" w:lineRule="auto"/>
        <w:jc w:val="center"/>
        <w:rPr>
          <w:rFonts w:ascii="Garamond" w:hAnsi="Garamond"/>
          <w:b/>
          <w:color w:val="1F497D" w:themeColor="text2"/>
        </w:rPr>
      </w:pPr>
    </w:p>
    <w:p w14:paraId="5029F8D9" w14:textId="77777777" w:rsidR="00E416A6" w:rsidRDefault="00E416A6" w:rsidP="0001711E">
      <w:pPr>
        <w:spacing w:after="0" w:line="240" w:lineRule="auto"/>
        <w:jc w:val="center"/>
        <w:rPr>
          <w:rFonts w:ascii="Garamond" w:hAnsi="Garamond"/>
          <w:b/>
          <w:color w:val="1F497D" w:themeColor="text2"/>
        </w:rPr>
      </w:pPr>
    </w:p>
    <w:p w14:paraId="753C807C" w14:textId="77777777" w:rsidR="00E416A6" w:rsidRDefault="00E416A6" w:rsidP="0001711E">
      <w:pPr>
        <w:spacing w:after="0" w:line="240" w:lineRule="auto"/>
        <w:jc w:val="center"/>
        <w:rPr>
          <w:rFonts w:ascii="Garamond" w:hAnsi="Garamond"/>
          <w:b/>
          <w:color w:val="1F497D" w:themeColor="text2"/>
        </w:rPr>
      </w:pPr>
    </w:p>
    <w:p w14:paraId="2D1A0537" w14:textId="77777777" w:rsidR="00E416A6" w:rsidRDefault="00E416A6" w:rsidP="0001711E">
      <w:pPr>
        <w:spacing w:after="0" w:line="240" w:lineRule="auto"/>
        <w:jc w:val="center"/>
        <w:rPr>
          <w:rFonts w:ascii="Garamond" w:hAnsi="Garamond"/>
          <w:b/>
          <w:color w:val="1F497D" w:themeColor="text2"/>
        </w:rPr>
      </w:pPr>
    </w:p>
    <w:p w14:paraId="5A46E5AC" w14:textId="77777777" w:rsidR="00E416A6" w:rsidRPr="00302316" w:rsidRDefault="00562B6E" w:rsidP="00E416A6">
      <w:pPr>
        <w:pStyle w:val="CalloutQuotes"/>
        <w:spacing w:after="270" w:line="240" w:lineRule="auto"/>
        <w:jc w:val="center"/>
        <w:rPr>
          <w:rFonts w:ascii="Calibri" w:hAnsi="Calibri" w:cs="Times New Roman"/>
          <w:b/>
          <w:color w:val="A6A6A6" w:themeColor="background1" w:themeShade="A6"/>
          <w:spacing w:val="0"/>
        </w:rPr>
      </w:pPr>
      <w:r w:rsidRPr="00302316">
        <w:rPr>
          <w:rFonts w:ascii="Calibri" w:hAnsi="Calibri" w:cs="Times New Roman"/>
          <w:b/>
          <w:color w:val="A6A6A6" w:themeColor="background1" w:themeShade="A6"/>
          <w:spacing w:val="0"/>
        </w:rPr>
        <w:t>TECHNICAL APPENDIX</w:t>
      </w:r>
      <w:r w:rsidR="00E416A6" w:rsidRPr="00302316">
        <w:rPr>
          <w:rFonts w:ascii="Calibri" w:hAnsi="Calibri" w:cs="Times New Roman"/>
          <w:b/>
          <w:color w:val="A6A6A6" w:themeColor="background1" w:themeShade="A6"/>
          <w:spacing w:val="0"/>
        </w:rPr>
        <w:t xml:space="preserve"> </w:t>
      </w:r>
    </w:p>
    <w:p w14:paraId="6CE5D764" w14:textId="77777777" w:rsidR="00E416A6" w:rsidRDefault="00E416A6" w:rsidP="0001711E">
      <w:pPr>
        <w:spacing w:after="0" w:line="240" w:lineRule="auto"/>
        <w:jc w:val="center"/>
        <w:rPr>
          <w:rFonts w:ascii="Garamond" w:hAnsi="Garamond"/>
          <w:b/>
          <w:color w:val="1F497D" w:themeColor="text2"/>
        </w:rPr>
      </w:pPr>
    </w:p>
    <w:p w14:paraId="48850459" w14:textId="77777777" w:rsidR="00E416A6" w:rsidRDefault="00E416A6" w:rsidP="0001711E">
      <w:pPr>
        <w:spacing w:after="0" w:line="240" w:lineRule="auto"/>
        <w:jc w:val="center"/>
        <w:rPr>
          <w:rFonts w:ascii="Garamond" w:hAnsi="Garamond"/>
          <w:b/>
          <w:color w:val="1F497D" w:themeColor="text2"/>
        </w:rPr>
      </w:pPr>
    </w:p>
    <w:p w14:paraId="3204AF43" w14:textId="77777777" w:rsidR="00E416A6" w:rsidRDefault="00E416A6" w:rsidP="0001711E">
      <w:pPr>
        <w:spacing w:after="0" w:line="240" w:lineRule="auto"/>
        <w:jc w:val="center"/>
        <w:rPr>
          <w:rFonts w:ascii="Garamond" w:hAnsi="Garamond"/>
          <w:b/>
          <w:color w:val="1F497D" w:themeColor="text2"/>
        </w:rPr>
      </w:pPr>
    </w:p>
    <w:p w14:paraId="78C46A83" w14:textId="77777777" w:rsidR="00E416A6" w:rsidRDefault="00562B6E" w:rsidP="00562B6E">
      <w:pPr>
        <w:spacing w:after="0" w:line="240" w:lineRule="auto"/>
        <w:jc w:val="right"/>
        <w:rPr>
          <w:rFonts w:ascii="Garamond" w:hAnsi="Garamond"/>
          <w:b/>
          <w:color w:val="1F497D" w:themeColor="text2"/>
        </w:rPr>
      </w:pPr>
      <w:r>
        <w:rPr>
          <w:rFonts w:ascii="Garamond" w:hAnsi="Garamond"/>
          <w:b/>
          <w:color w:val="1F497D" w:themeColor="text2"/>
        </w:rPr>
        <w:br w:type="textWrapping" w:clear="all"/>
      </w:r>
    </w:p>
    <w:p w14:paraId="2237273E" w14:textId="77777777" w:rsidR="00E416A6" w:rsidRDefault="00E416A6" w:rsidP="0001711E">
      <w:pPr>
        <w:spacing w:after="0" w:line="240" w:lineRule="auto"/>
        <w:jc w:val="center"/>
        <w:rPr>
          <w:rFonts w:ascii="Garamond" w:hAnsi="Garamond"/>
          <w:b/>
          <w:color w:val="1F497D" w:themeColor="text2"/>
        </w:rPr>
      </w:pPr>
    </w:p>
    <w:p w14:paraId="38E92E8B" w14:textId="77777777" w:rsidR="00E416A6" w:rsidRDefault="00562B6E" w:rsidP="0001711E">
      <w:pPr>
        <w:spacing w:after="0" w:line="240" w:lineRule="auto"/>
        <w:jc w:val="center"/>
        <w:rPr>
          <w:rFonts w:ascii="Garamond" w:hAnsi="Garamond"/>
          <w:b/>
          <w:color w:val="1F497D" w:themeColor="text2"/>
        </w:rPr>
      </w:pPr>
      <w:r>
        <w:rPr>
          <w:rFonts w:ascii="Garamond" w:hAnsi="Garamond"/>
          <w:b/>
          <w:noProof/>
          <w:color w:val="1F497D" w:themeColor="text2"/>
        </w:rPr>
        <w:drawing>
          <wp:anchor distT="0" distB="0" distL="114300" distR="114300" simplePos="0" relativeHeight="251662336" behindDoc="0" locked="0" layoutInCell="1" allowOverlap="1" wp14:anchorId="2F6495E5" wp14:editId="40D7474F">
            <wp:simplePos x="0" y="0"/>
            <wp:positionH relativeFrom="column">
              <wp:posOffset>5143500</wp:posOffset>
            </wp:positionH>
            <wp:positionV relativeFrom="paragraph">
              <wp:posOffset>95250</wp:posOffset>
            </wp:positionV>
            <wp:extent cx="1267460" cy="1828800"/>
            <wp:effectExtent l="0" t="0" r="254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A_logo_CS6_flat.psd"/>
                    <pic:cNvPicPr/>
                  </pic:nvPicPr>
                  <pic:blipFill>
                    <a:blip r:embed="rId9">
                      <a:extLst>
                        <a:ext uri="{28A0092B-C50C-407E-A947-70E740481C1C}">
                          <a14:useLocalDpi xmlns:a14="http://schemas.microsoft.com/office/drawing/2010/main" val="0"/>
                        </a:ext>
                      </a:extLst>
                    </a:blip>
                    <a:stretch>
                      <a:fillRect/>
                    </a:stretch>
                  </pic:blipFill>
                  <pic:spPr>
                    <a:xfrm>
                      <a:off x="0" y="0"/>
                      <a:ext cx="1267460" cy="1828800"/>
                    </a:xfrm>
                    <a:prstGeom prst="rect">
                      <a:avLst/>
                    </a:prstGeom>
                  </pic:spPr>
                </pic:pic>
              </a:graphicData>
            </a:graphic>
          </wp:anchor>
        </w:drawing>
      </w:r>
    </w:p>
    <w:p w14:paraId="64AB6D1A" w14:textId="77777777" w:rsidR="00E416A6" w:rsidRDefault="00E416A6" w:rsidP="0001711E">
      <w:pPr>
        <w:spacing w:after="0" w:line="240" w:lineRule="auto"/>
        <w:jc w:val="center"/>
        <w:rPr>
          <w:rFonts w:ascii="Garamond" w:hAnsi="Garamond"/>
          <w:b/>
          <w:color w:val="1F497D" w:themeColor="text2"/>
        </w:rPr>
      </w:pPr>
    </w:p>
    <w:p w14:paraId="1F8559C9" w14:textId="77777777" w:rsidR="00E416A6" w:rsidRDefault="00E416A6" w:rsidP="0001711E">
      <w:pPr>
        <w:spacing w:after="0" w:line="240" w:lineRule="auto"/>
        <w:jc w:val="center"/>
        <w:rPr>
          <w:rFonts w:ascii="Garamond" w:hAnsi="Garamond"/>
          <w:b/>
          <w:color w:val="1F497D" w:themeColor="text2"/>
        </w:rPr>
      </w:pPr>
    </w:p>
    <w:p w14:paraId="59D2379B" w14:textId="77777777" w:rsidR="00E416A6" w:rsidRDefault="00E416A6" w:rsidP="0001711E">
      <w:pPr>
        <w:spacing w:after="0" w:line="240" w:lineRule="auto"/>
        <w:jc w:val="center"/>
        <w:rPr>
          <w:rFonts w:ascii="Garamond" w:hAnsi="Garamond"/>
          <w:b/>
          <w:color w:val="1F497D" w:themeColor="text2"/>
        </w:rPr>
      </w:pPr>
    </w:p>
    <w:p w14:paraId="70AC0900" w14:textId="77777777" w:rsidR="00E416A6" w:rsidRDefault="00E416A6" w:rsidP="0001711E">
      <w:pPr>
        <w:spacing w:after="0" w:line="240" w:lineRule="auto"/>
        <w:jc w:val="center"/>
        <w:rPr>
          <w:rFonts w:ascii="Garamond" w:hAnsi="Garamond"/>
          <w:b/>
          <w:color w:val="1F497D" w:themeColor="text2"/>
        </w:rPr>
      </w:pPr>
    </w:p>
    <w:p w14:paraId="12E24116" w14:textId="77777777" w:rsidR="00E416A6" w:rsidRDefault="00E416A6" w:rsidP="0001711E">
      <w:pPr>
        <w:spacing w:after="0" w:line="240" w:lineRule="auto"/>
        <w:jc w:val="center"/>
        <w:rPr>
          <w:rFonts w:ascii="Garamond" w:hAnsi="Garamond"/>
          <w:b/>
          <w:color w:val="1F497D" w:themeColor="text2"/>
        </w:rPr>
      </w:pPr>
    </w:p>
    <w:p w14:paraId="0CE794AE" w14:textId="77777777" w:rsidR="00E416A6" w:rsidRDefault="00E416A6" w:rsidP="0001711E">
      <w:pPr>
        <w:spacing w:after="0" w:line="240" w:lineRule="auto"/>
        <w:jc w:val="center"/>
        <w:rPr>
          <w:rFonts w:ascii="Garamond" w:hAnsi="Garamond"/>
          <w:b/>
          <w:color w:val="1F497D" w:themeColor="text2"/>
        </w:rPr>
      </w:pPr>
    </w:p>
    <w:p w14:paraId="2B3F86B8" w14:textId="77777777" w:rsidR="00E416A6" w:rsidRDefault="00E416A6" w:rsidP="0001711E">
      <w:pPr>
        <w:spacing w:after="0" w:line="240" w:lineRule="auto"/>
        <w:jc w:val="center"/>
        <w:rPr>
          <w:rFonts w:ascii="Garamond" w:hAnsi="Garamond"/>
          <w:b/>
          <w:color w:val="1F497D" w:themeColor="text2"/>
        </w:rPr>
      </w:pPr>
    </w:p>
    <w:p w14:paraId="3F1FFA77" w14:textId="77777777" w:rsidR="00E416A6" w:rsidRDefault="00E416A6" w:rsidP="0001711E">
      <w:pPr>
        <w:spacing w:after="0" w:line="240" w:lineRule="auto"/>
        <w:jc w:val="center"/>
        <w:rPr>
          <w:rFonts w:ascii="Garamond" w:hAnsi="Garamond"/>
          <w:b/>
          <w:color w:val="1F497D" w:themeColor="text2"/>
        </w:rPr>
      </w:pPr>
    </w:p>
    <w:p w14:paraId="48D874DB" w14:textId="77777777" w:rsidR="00E416A6" w:rsidRDefault="00E416A6" w:rsidP="0001711E">
      <w:pPr>
        <w:spacing w:after="0" w:line="240" w:lineRule="auto"/>
        <w:jc w:val="center"/>
        <w:rPr>
          <w:rFonts w:ascii="Garamond" w:hAnsi="Garamond"/>
          <w:b/>
          <w:color w:val="1F497D" w:themeColor="text2"/>
        </w:rPr>
      </w:pPr>
    </w:p>
    <w:p w14:paraId="3307D64B" w14:textId="77777777" w:rsidR="00E416A6" w:rsidRDefault="00E416A6" w:rsidP="0001711E">
      <w:pPr>
        <w:spacing w:after="0" w:line="240" w:lineRule="auto"/>
        <w:jc w:val="center"/>
        <w:rPr>
          <w:rFonts w:ascii="Garamond" w:hAnsi="Garamond"/>
          <w:b/>
          <w:color w:val="1F497D" w:themeColor="text2"/>
        </w:rPr>
      </w:pPr>
    </w:p>
    <w:p w14:paraId="4EB4C1D4" w14:textId="77777777" w:rsidR="00E416A6" w:rsidRDefault="00E416A6" w:rsidP="0001711E">
      <w:pPr>
        <w:spacing w:after="0" w:line="240" w:lineRule="auto"/>
        <w:jc w:val="center"/>
        <w:rPr>
          <w:rFonts w:ascii="Garamond" w:hAnsi="Garamond"/>
          <w:b/>
          <w:color w:val="1F497D" w:themeColor="text2"/>
        </w:rPr>
      </w:pPr>
    </w:p>
    <w:p w14:paraId="077CBFE8" w14:textId="77777777" w:rsidR="0001711E" w:rsidRPr="003058EA" w:rsidRDefault="0001711E" w:rsidP="00562B6E">
      <w:pPr>
        <w:spacing w:after="0" w:line="240" w:lineRule="auto"/>
        <w:jc w:val="center"/>
        <w:rPr>
          <w:rFonts w:ascii="Garamond" w:hAnsi="Garamond"/>
          <w:b/>
          <w:color w:val="1F497D" w:themeColor="text2"/>
        </w:rPr>
      </w:pPr>
      <w:r w:rsidRPr="003058EA">
        <w:rPr>
          <w:rFonts w:ascii="Garamond" w:hAnsi="Garamond"/>
          <w:b/>
          <w:color w:val="1F497D" w:themeColor="text2"/>
        </w:rPr>
        <w:lastRenderedPageBreak/>
        <w:t>CENTER FOR HEALTH</w:t>
      </w:r>
    </w:p>
    <w:p w14:paraId="57DACB3F" w14:textId="77777777" w:rsidR="0001711E" w:rsidRPr="003058EA" w:rsidRDefault="0001711E" w:rsidP="0001711E">
      <w:pPr>
        <w:spacing w:after="0" w:line="240" w:lineRule="auto"/>
        <w:jc w:val="center"/>
        <w:rPr>
          <w:rFonts w:ascii="Garamond" w:hAnsi="Garamond"/>
          <w:b/>
          <w:color w:val="1F497D" w:themeColor="text2"/>
        </w:rPr>
      </w:pPr>
      <w:r w:rsidRPr="003058EA">
        <w:rPr>
          <w:rFonts w:ascii="Garamond" w:hAnsi="Garamond"/>
          <w:b/>
          <w:color w:val="1F497D" w:themeColor="text2"/>
        </w:rPr>
        <w:t>INFORMATION AND ANALYSIS</w:t>
      </w:r>
    </w:p>
    <w:p w14:paraId="7FB410EA" w14:textId="77777777" w:rsidR="0001711E" w:rsidRPr="003058EA" w:rsidRDefault="0001711E" w:rsidP="0001711E">
      <w:pPr>
        <w:jc w:val="both"/>
        <w:rPr>
          <w:rFonts w:ascii="Garamond" w:hAnsi="Garamond"/>
          <w:b/>
          <w:color w:val="1F497D" w:themeColor="text2"/>
        </w:rPr>
      </w:pPr>
    </w:p>
    <w:p w14:paraId="39F9E9D4" w14:textId="77777777" w:rsidR="0001711E" w:rsidRPr="003058EA" w:rsidRDefault="0001711E" w:rsidP="0001711E">
      <w:pPr>
        <w:jc w:val="center"/>
        <w:rPr>
          <w:rFonts w:ascii="Garamond" w:hAnsi="Garamond"/>
          <w:b/>
          <w:color w:val="1F497D" w:themeColor="text2"/>
        </w:rPr>
      </w:pPr>
      <w:r w:rsidRPr="003058EA">
        <w:rPr>
          <w:rFonts w:ascii="Garamond" w:hAnsi="Garamond"/>
          <w:b/>
          <w:color w:val="1F497D" w:themeColor="text2"/>
        </w:rPr>
        <w:t>ANNUAL REPORT ON THE PERFORMANCE OF THE MASSSACHUSETTS HEALTH CARE SYSTEM</w:t>
      </w:r>
      <w:r w:rsidR="0048712E" w:rsidRPr="003058EA">
        <w:rPr>
          <w:rFonts w:ascii="Garamond" w:hAnsi="Garamond"/>
          <w:b/>
          <w:color w:val="1F497D" w:themeColor="text2"/>
        </w:rPr>
        <w:t>: SEPTEMBER 2014</w:t>
      </w:r>
    </w:p>
    <w:p w14:paraId="438C3791" w14:textId="77777777" w:rsidR="009B76BE" w:rsidRDefault="007E5AFA" w:rsidP="00FB7DE8">
      <w:pPr>
        <w:jc w:val="center"/>
        <w:rPr>
          <w:rFonts w:ascii="Garamond" w:hAnsi="Garamond"/>
          <w:b/>
          <w:color w:val="1F497D" w:themeColor="text2"/>
        </w:rPr>
      </w:pPr>
      <w:r w:rsidRPr="003058EA">
        <w:rPr>
          <w:rFonts w:ascii="Garamond" w:hAnsi="Garamond"/>
          <w:b/>
          <w:color w:val="1F497D" w:themeColor="text2"/>
        </w:rPr>
        <w:t>TECHNICAL APPENDIX</w:t>
      </w:r>
    </w:p>
    <w:p w14:paraId="753C8F70" w14:textId="77777777" w:rsidR="00DA5A24" w:rsidRDefault="00DA5A24" w:rsidP="00DA5A24">
      <w:pPr>
        <w:rPr>
          <w:rFonts w:ascii="Garamond" w:hAnsi="Garamond"/>
          <w:b/>
          <w:u w:val="single"/>
        </w:rPr>
      </w:pPr>
    </w:p>
    <w:p w14:paraId="2F57ACC1" w14:textId="77777777" w:rsidR="00DA5A24" w:rsidRPr="00DA5A24" w:rsidRDefault="00DA5A24" w:rsidP="00DA5A24">
      <w:pPr>
        <w:rPr>
          <w:rFonts w:ascii="Garamond" w:hAnsi="Garamond"/>
          <w:b/>
          <w:u w:val="single"/>
        </w:rPr>
      </w:pPr>
      <w:r w:rsidRPr="00DA5A24">
        <w:rPr>
          <w:rFonts w:ascii="Garamond" w:hAnsi="Garamond"/>
          <w:b/>
          <w:u w:val="single"/>
        </w:rPr>
        <w:t>TABLE OF CONTENTS</w:t>
      </w:r>
    </w:p>
    <w:p w14:paraId="518B45B3" w14:textId="77777777" w:rsidR="00DA5A24" w:rsidRPr="00DA5A24" w:rsidRDefault="00DA5A24" w:rsidP="00DA5A24">
      <w:pPr>
        <w:pStyle w:val="ListParagraph"/>
        <w:numPr>
          <w:ilvl w:val="0"/>
          <w:numId w:val="10"/>
        </w:numPr>
        <w:rPr>
          <w:rFonts w:ascii="Garamond" w:hAnsi="Garamond"/>
        </w:rPr>
      </w:pPr>
      <w:r w:rsidRPr="00DA5A24">
        <w:rPr>
          <w:rFonts w:ascii="Garamond" w:hAnsi="Garamond"/>
        </w:rPr>
        <w:t>Total Health Care Expenditures (THCE)</w:t>
      </w:r>
    </w:p>
    <w:p w14:paraId="66FDB8D8" w14:textId="77777777" w:rsidR="00DA5A24" w:rsidRPr="00DA5A24" w:rsidRDefault="00DA5A24" w:rsidP="00DA5A24">
      <w:pPr>
        <w:pStyle w:val="ListParagraph"/>
        <w:numPr>
          <w:ilvl w:val="0"/>
          <w:numId w:val="10"/>
        </w:numPr>
        <w:rPr>
          <w:rFonts w:ascii="Garamond" w:hAnsi="Garamond"/>
        </w:rPr>
      </w:pPr>
      <w:r w:rsidRPr="00DA5A24">
        <w:rPr>
          <w:rFonts w:ascii="Garamond" w:hAnsi="Garamond"/>
        </w:rPr>
        <w:t>Health Care Cost Growth Benchmark</w:t>
      </w:r>
    </w:p>
    <w:p w14:paraId="2EA927FD" w14:textId="77777777" w:rsidR="004749A3" w:rsidRDefault="004749A3" w:rsidP="004749A3">
      <w:pPr>
        <w:pStyle w:val="ListParagraph"/>
        <w:numPr>
          <w:ilvl w:val="0"/>
          <w:numId w:val="10"/>
        </w:numPr>
        <w:rPr>
          <w:rFonts w:ascii="Garamond" w:hAnsi="Garamond"/>
        </w:rPr>
      </w:pPr>
      <w:r w:rsidRPr="004749A3">
        <w:rPr>
          <w:rFonts w:ascii="Garamond" w:hAnsi="Garamond"/>
        </w:rPr>
        <w:t xml:space="preserve">Contract-Membership, Commercial Premiums, </w:t>
      </w:r>
      <w:r w:rsidR="005C1E32">
        <w:rPr>
          <w:rFonts w:ascii="Garamond" w:hAnsi="Garamond"/>
        </w:rPr>
        <w:t>Member</w:t>
      </w:r>
      <w:r w:rsidR="005C1E32" w:rsidRPr="004749A3">
        <w:rPr>
          <w:rFonts w:ascii="Garamond" w:hAnsi="Garamond"/>
        </w:rPr>
        <w:t xml:space="preserve"> </w:t>
      </w:r>
      <w:r w:rsidRPr="004749A3">
        <w:rPr>
          <w:rFonts w:ascii="Garamond" w:hAnsi="Garamond"/>
        </w:rPr>
        <w:t>Cost Sharing, and Benefit Levels</w:t>
      </w:r>
    </w:p>
    <w:p w14:paraId="2A6FCF81" w14:textId="77777777" w:rsidR="00DA5A24" w:rsidRPr="00DA5A24" w:rsidRDefault="00DA5A24" w:rsidP="004749A3">
      <w:pPr>
        <w:pStyle w:val="ListParagraph"/>
        <w:numPr>
          <w:ilvl w:val="0"/>
          <w:numId w:val="10"/>
        </w:numPr>
        <w:rPr>
          <w:rFonts w:ascii="Garamond" w:hAnsi="Garamond"/>
        </w:rPr>
      </w:pPr>
      <w:r w:rsidRPr="00DA5A24">
        <w:rPr>
          <w:rFonts w:ascii="Garamond" w:hAnsi="Garamond"/>
        </w:rPr>
        <w:t>Total Medical Expenses (TME)</w:t>
      </w:r>
    </w:p>
    <w:p w14:paraId="1E78635A" w14:textId="77777777" w:rsidR="00DA5A24" w:rsidRPr="00DA5A24" w:rsidRDefault="00DA5A24" w:rsidP="00DA5A24">
      <w:pPr>
        <w:pStyle w:val="ListParagraph"/>
        <w:numPr>
          <w:ilvl w:val="0"/>
          <w:numId w:val="10"/>
        </w:numPr>
        <w:rPr>
          <w:rFonts w:ascii="Garamond" w:hAnsi="Garamond"/>
        </w:rPr>
      </w:pPr>
      <w:r w:rsidRPr="00DA5A24">
        <w:rPr>
          <w:rFonts w:ascii="Garamond" w:hAnsi="Garamond"/>
        </w:rPr>
        <w:t>Managing Physician Group TME</w:t>
      </w:r>
    </w:p>
    <w:p w14:paraId="0B884539" w14:textId="77777777" w:rsidR="00DA5A24" w:rsidRPr="00DA5A24" w:rsidRDefault="004749A3" w:rsidP="00DA5A24">
      <w:pPr>
        <w:pStyle w:val="ListParagraph"/>
        <w:numPr>
          <w:ilvl w:val="0"/>
          <w:numId w:val="10"/>
        </w:numPr>
        <w:rPr>
          <w:rFonts w:ascii="Garamond" w:hAnsi="Garamond"/>
        </w:rPr>
      </w:pPr>
      <w:r>
        <w:rPr>
          <w:rFonts w:ascii="Garamond" w:hAnsi="Garamond"/>
        </w:rPr>
        <w:t xml:space="preserve">Managing Physician </w:t>
      </w:r>
      <w:r w:rsidR="00DA5A24" w:rsidRPr="00DA5A24">
        <w:rPr>
          <w:rFonts w:ascii="Garamond" w:hAnsi="Garamond"/>
        </w:rPr>
        <w:t>Group Quality</w:t>
      </w:r>
    </w:p>
    <w:p w14:paraId="05D440CD" w14:textId="77777777" w:rsidR="004749A3" w:rsidRDefault="004749A3" w:rsidP="004749A3">
      <w:pPr>
        <w:pStyle w:val="ListParagraph"/>
        <w:numPr>
          <w:ilvl w:val="0"/>
          <w:numId w:val="10"/>
        </w:numPr>
        <w:rPr>
          <w:rFonts w:ascii="Garamond" w:hAnsi="Garamond"/>
        </w:rPr>
      </w:pPr>
      <w:r w:rsidRPr="004749A3">
        <w:rPr>
          <w:rFonts w:ascii="Garamond" w:hAnsi="Garamond"/>
        </w:rPr>
        <w:t xml:space="preserve">Payer Retention, </w:t>
      </w:r>
      <w:r w:rsidR="005C1E32">
        <w:rPr>
          <w:rFonts w:ascii="Garamond" w:hAnsi="Garamond"/>
        </w:rPr>
        <w:t xml:space="preserve">Components of </w:t>
      </w:r>
      <w:r w:rsidRPr="004749A3">
        <w:rPr>
          <w:rFonts w:ascii="Garamond" w:hAnsi="Garamond"/>
        </w:rPr>
        <w:t>Retention, Medical Loss Ratios</w:t>
      </w:r>
      <w:r w:rsidR="00FF2ABE">
        <w:rPr>
          <w:rFonts w:ascii="Garamond" w:hAnsi="Garamond"/>
        </w:rPr>
        <w:t xml:space="preserve"> (MLR)</w:t>
      </w:r>
      <w:r w:rsidRPr="004749A3">
        <w:rPr>
          <w:rFonts w:ascii="Garamond" w:hAnsi="Garamond"/>
        </w:rPr>
        <w:t>, and Rebates</w:t>
      </w:r>
    </w:p>
    <w:p w14:paraId="3AC6A894" w14:textId="77777777" w:rsidR="00DA5A24" w:rsidRPr="00DA5A24" w:rsidRDefault="00DA5A24" w:rsidP="004749A3">
      <w:pPr>
        <w:pStyle w:val="ListParagraph"/>
        <w:numPr>
          <w:ilvl w:val="0"/>
          <w:numId w:val="10"/>
        </w:numPr>
        <w:rPr>
          <w:rFonts w:ascii="Garamond" w:hAnsi="Garamond"/>
        </w:rPr>
      </w:pPr>
      <w:r w:rsidRPr="00DA5A24">
        <w:rPr>
          <w:rFonts w:ascii="Garamond" w:hAnsi="Garamond"/>
        </w:rPr>
        <w:t>Alternative Payment Methods (APM)</w:t>
      </w:r>
    </w:p>
    <w:p w14:paraId="723E00C4" w14:textId="77777777" w:rsidR="00DA5A24" w:rsidRPr="00DA5A24" w:rsidRDefault="00DA5A24" w:rsidP="00DA5A24">
      <w:pPr>
        <w:pStyle w:val="ListParagraph"/>
        <w:numPr>
          <w:ilvl w:val="0"/>
          <w:numId w:val="10"/>
        </w:numPr>
        <w:rPr>
          <w:rFonts w:ascii="Garamond" w:hAnsi="Garamond"/>
        </w:rPr>
      </w:pPr>
      <w:r w:rsidRPr="00DA5A24">
        <w:rPr>
          <w:rFonts w:ascii="Garamond" w:hAnsi="Garamond"/>
        </w:rPr>
        <w:t>Market Concentration/ Enrollment Trends Methodology</w:t>
      </w:r>
    </w:p>
    <w:p w14:paraId="4FB05896" w14:textId="77777777" w:rsidR="004749A3" w:rsidRDefault="004749A3" w:rsidP="00D073D7">
      <w:pPr>
        <w:spacing w:after="0"/>
        <w:jc w:val="both"/>
        <w:rPr>
          <w:rFonts w:ascii="Garamond" w:hAnsi="Garamond"/>
          <w:b/>
          <w:color w:val="4F81BD" w:themeColor="accent1"/>
          <w:sz w:val="28"/>
          <w:u w:val="single"/>
        </w:rPr>
      </w:pPr>
    </w:p>
    <w:p w14:paraId="3B435639" w14:textId="77777777" w:rsidR="00D73639" w:rsidRPr="00D73639" w:rsidRDefault="003058EA" w:rsidP="00D073D7">
      <w:pPr>
        <w:spacing w:after="0"/>
        <w:jc w:val="both"/>
        <w:rPr>
          <w:rFonts w:ascii="Garamond" w:hAnsi="Garamond"/>
          <w:b/>
          <w:color w:val="4F81BD" w:themeColor="accent1"/>
          <w:sz w:val="28"/>
          <w:u w:val="single"/>
        </w:rPr>
      </w:pPr>
      <w:r w:rsidRPr="00D73639">
        <w:rPr>
          <w:rFonts w:ascii="Garamond" w:hAnsi="Garamond"/>
          <w:b/>
          <w:color w:val="4F81BD" w:themeColor="accent1"/>
          <w:sz w:val="28"/>
          <w:u w:val="single"/>
        </w:rPr>
        <w:t>Total Health Care Expenditures (THCE)</w:t>
      </w:r>
    </w:p>
    <w:p w14:paraId="214F997B" w14:textId="77777777" w:rsidR="00E509D1" w:rsidRPr="00D73639" w:rsidRDefault="00E509D1" w:rsidP="00E509D1">
      <w:pPr>
        <w:jc w:val="both"/>
        <w:rPr>
          <w:rFonts w:ascii="Garamond" w:hAnsi="Garamond"/>
        </w:rPr>
      </w:pPr>
      <w:r w:rsidRPr="00D73639">
        <w:rPr>
          <w:rFonts w:ascii="Garamond" w:hAnsi="Garamond"/>
          <w:b/>
          <w:color w:val="4F81BD" w:themeColor="accent1"/>
        </w:rPr>
        <w:t xml:space="preserve"> </w:t>
      </w:r>
      <w:r w:rsidRPr="00D73639">
        <w:rPr>
          <w:rFonts w:ascii="Garamond" w:hAnsi="Garamond"/>
        </w:rPr>
        <w:t>[</w:t>
      </w:r>
      <w:r w:rsidR="00D73639">
        <w:rPr>
          <w:rFonts w:ascii="Garamond" w:hAnsi="Garamond"/>
        </w:rPr>
        <w:t>M</w:t>
      </w:r>
      <w:r w:rsidRPr="00D73639">
        <w:rPr>
          <w:rFonts w:ascii="Garamond" w:hAnsi="Garamond"/>
        </w:rPr>
        <w:t xml:space="preserve">etric related to </w:t>
      </w:r>
      <w:r w:rsidR="00D073D7">
        <w:rPr>
          <w:rFonts w:ascii="Garamond" w:hAnsi="Garamond"/>
        </w:rPr>
        <w:t>Supplements 1, 4, 7,</w:t>
      </w:r>
      <w:r w:rsidR="001D6699">
        <w:rPr>
          <w:rFonts w:ascii="Garamond" w:hAnsi="Garamond"/>
        </w:rPr>
        <w:t xml:space="preserve"> </w:t>
      </w:r>
      <w:r w:rsidR="00D073D7">
        <w:rPr>
          <w:rFonts w:ascii="Garamond" w:hAnsi="Garamond"/>
        </w:rPr>
        <w:t xml:space="preserve">8, </w:t>
      </w:r>
      <w:proofErr w:type="gramStart"/>
      <w:r w:rsidRPr="00D73639">
        <w:rPr>
          <w:rFonts w:ascii="Garamond" w:hAnsi="Garamond"/>
        </w:rPr>
        <w:t>9</w:t>
      </w:r>
      <w:proofErr w:type="gramEnd"/>
      <w:r w:rsidRPr="00D73639">
        <w:rPr>
          <w:rFonts w:ascii="Garamond" w:hAnsi="Garamond"/>
        </w:rPr>
        <w:t>]</w:t>
      </w:r>
    </w:p>
    <w:p w14:paraId="05BFD62F" w14:textId="77777777" w:rsidR="00A61833" w:rsidRPr="00D73639" w:rsidRDefault="00BF13CF" w:rsidP="00DF7961">
      <w:pPr>
        <w:rPr>
          <w:rFonts w:ascii="Garamond" w:hAnsi="Garamond"/>
        </w:rPr>
      </w:pPr>
      <w:r w:rsidRPr="00D73639">
        <w:rPr>
          <w:rFonts w:ascii="Garamond" w:hAnsi="Garamond"/>
        </w:rPr>
        <w:t>CHIA</w:t>
      </w:r>
      <w:r w:rsidR="00A61833" w:rsidRPr="00D73639">
        <w:rPr>
          <w:rFonts w:ascii="Garamond" w:hAnsi="Garamond"/>
        </w:rPr>
        <w:t xml:space="preserve">’s approach to the </w:t>
      </w:r>
      <w:r w:rsidR="001B11B3" w:rsidRPr="00D73639">
        <w:rPr>
          <w:rFonts w:ascii="Garamond" w:hAnsi="Garamond"/>
        </w:rPr>
        <w:t>THCE</w:t>
      </w:r>
      <w:r w:rsidR="00A61833" w:rsidRPr="00D73639">
        <w:rPr>
          <w:rFonts w:ascii="Garamond" w:hAnsi="Garamond"/>
        </w:rPr>
        <w:t xml:space="preserve"> calculation aims to support its intended uses: analysis of state-level expenditures and the annual growth rate</w:t>
      </w:r>
      <w:r w:rsidR="00C0613C">
        <w:rPr>
          <w:rFonts w:ascii="Garamond" w:hAnsi="Garamond"/>
        </w:rPr>
        <w:t>,</w:t>
      </w:r>
      <w:r w:rsidR="00A61833" w:rsidRPr="00D73639">
        <w:rPr>
          <w:rFonts w:ascii="Garamond" w:hAnsi="Garamond"/>
        </w:rPr>
        <w:t xml:space="preserve"> as well as to support analysis of potential drivers of cost growth.  </w:t>
      </w:r>
      <w:r w:rsidRPr="00D73639">
        <w:rPr>
          <w:rFonts w:ascii="Garamond" w:hAnsi="Garamond"/>
        </w:rPr>
        <w:t>CHIA</w:t>
      </w:r>
      <w:r w:rsidR="00A61833" w:rsidRPr="00D73639">
        <w:rPr>
          <w:rFonts w:ascii="Garamond" w:hAnsi="Garamond"/>
        </w:rPr>
        <w:t xml:space="preserve">’s THCE model </w:t>
      </w:r>
      <w:r w:rsidR="00C0613C" w:rsidRPr="00D73639">
        <w:rPr>
          <w:rFonts w:ascii="Garamond" w:hAnsi="Garamond"/>
        </w:rPr>
        <w:t>use</w:t>
      </w:r>
      <w:r w:rsidR="00C0613C">
        <w:rPr>
          <w:rFonts w:ascii="Garamond" w:hAnsi="Garamond"/>
        </w:rPr>
        <w:t>s</w:t>
      </w:r>
      <w:r w:rsidR="00C0613C" w:rsidRPr="00D73639">
        <w:rPr>
          <w:rFonts w:ascii="Garamond" w:hAnsi="Garamond"/>
        </w:rPr>
        <w:t xml:space="preserve"> </w:t>
      </w:r>
      <w:r w:rsidR="00A61833" w:rsidRPr="00D73639">
        <w:rPr>
          <w:rFonts w:ascii="Garamond" w:hAnsi="Garamond"/>
        </w:rPr>
        <w:t xml:space="preserve">data </w:t>
      </w:r>
      <w:r w:rsidR="00C0613C">
        <w:rPr>
          <w:rFonts w:ascii="Garamond" w:hAnsi="Garamond"/>
        </w:rPr>
        <w:t xml:space="preserve">that was </w:t>
      </w:r>
      <w:r w:rsidR="00A61833" w:rsidRPr="00D73639">
        <w:rPr>
          <w:rFonts w:ascii="Garamond" w:hAnsi="Garamond"/>
        </w:rPr>
        <w:t xml:space="preserve">reported </w:t>
      </w:r>
      <w:r w:rsidR="00C0613C">
        <w:rPr>
          <w:rFonts w:ascii="Garamond" w:hAnsi="Garamond"/>
        </w:rPr>
        <w:t xml:space="preserve">within the required timeframe </w:t>
      </w:r>
      <w:r w:rsidR="00A61833" w:rsidRPr="00D73639">
        <w:rPr>
          <w:rFonts w:ascii="Garamond" w:hAnsi="Garamond"/>
        </w:rPr>
        <w:t xml:space="preserve">by </w:t>
      </w:r>
      <w:proofErr w:type="gramStart"/>
      <w:r w:rsidR="00A61833" w:rsidRPr="00D73639">
        <w:rPr>
          <w:rFonts w:ascii="Garamond" w:hAnsi="Garamond"/>
        </w:rPr>
        <w:t>Massachusetts</w:t>
      </w:r>
      <w:proofErr w:type="gramEnd"/>
      <w:r w:rsidR="00A61833" w:rsidRPr="00D73639">
        <w:rPr>
          <w:rFonts w:ascii="Garamond" w:hAnsi="Garamond"/>
        </w:rPr>
        <w:t xml:space="preserve"> commercial payers, </w:t>
      </w:r>
      <w:r w:rsidR="0077009C" w:rsidRPr="00D73639">
        <w:rPr>
          <w:rFonts w:ascii="Garamond" w:hAnsi="Garamond"/>
        </w:rPr>
        <w:t xml:space="preserve">Centers </w:t>
      </w:r>
      <w:r w:rsidR="00A61833" w:rsidRPr="00D73639">
        <w:rPr>
          <w:rFonts w:ascii="Garamond" w:hAnsi="Garamond"/>
        </w:rPr>
        <w:t>for Medicare and Medicaid Services (CMS)</w:t>
      </w:r>
      <w:r w:rsidR="0077009C" w:rsidRPr="00D73639">
        <w:rPr>
          <w:rFonts w:ascii="Garamond" w:hAnsi="Garamond"/>
        </w:rPr>
        <w:t>,</w:t>
      </w:r>
      <w:r w:rsidR="00A61833" w:rsidRPr="00D73639">
        <w:rPr>
          <w:rFonts w:ascii="Garamond" w:hAnsi="Garamond"/>
        </w:rPr>
        <w:t xml:space="preserve"> </w:t>
      </w:r>
      <w:proofErr w:type="spellStart"/>
      <w:r w:rsidR="00A61833" w:rsidRPr="00D73639">
        <w:rPr>
          <w:rFonts w:ascii="Garamond" w:hAnsi="Garamond"/>
        </w:rPr>
        <w:t>MassHealth</w:t>
      </w:r>
      <w:proofErr w:type="spellEnd"/>
      <w:r w:rsidR="00A61833" w:rsidRPr="00D73639">
        <w:rPr>
          <w:rFonts w:ascii="Garamond" w:hAnsi="Garamond"/>
        </w:rPr>
        <w:t>, the Massachusetts Medicaid program</w:t>
      </w:r>
      <w:r w:rsidR="00457149" w:rsidRPr="00D73639">
        <w:rPr>
          <w:rFonts w:ascii="Garamond" w:hAnsi="Garamond"/>
        </w:rPr>
        <w:t>,</w:t>
      </w:r>
      <w:r w:rsidR="00BC2AE8" w:rsidRPr="00D73639">
        <w:rPr>
          <w:rFonts w:ascii="Garamond" w:hAnsi="Garamond"/>
        </w:rPr>
        <w:t xml:space="preserve"> and other </w:t>
      </w:r>
      <w:r w:rsidR="00457149" w:rsidRPr="00D73639">
        <w:rPr>
          <w:rFonts w:ascii="Garamond" w:hAnsi="Garamond"/>
        </w:rPr>
        <w:t>government</w:t>
      </w:r>
      <w:r w:rsidR="00BC2AE8" w:rsidRPr="00D73639">
        <w:rPr>
          <w:rFonts w:ascii="Garamond" w:hAnsi="Garamond"/>
        </w:rPr>
        <w:t xml:space="preserve"> agencies</w:t>
      </w:r>
      <w:r w:rsidR="00A61833" w:rsidRPr="00D73639">
        <w:rPr>
          <w:rFonts w:ascii="Garamond" w:hAnsi="Garamond"/>
        </w:rPr>
        <w:t>.</w:t>
      </w:r>
    </w:p>
    <w:p w14:paraId="2B887C07" w14:textId="77777777" w:rsidR="00824AD9" w:rsidRPr="00D73639" w:rsidRDefault="00F07FE1" w:rsidP="00DF7961">
      <w:pPr>
        <w:rPr>
          <w:rFonts w:ascii="Garamond" w:hAnsi="Garamond"/>
          <w:b/>
          <w:u w:val="single"/>
        </w:rPr>
      </w:pPr>
      <w:r w:rsidRPr="00D73639">
        <w:rPr>
          <w:rFonts w:ascii="Garamond" w:hAnsi="Garamond"/>
          <w:b/>
          <w:u w:val="single"/>
        </w:rPr>
        <w:t>Definitions:</w:t>
      </w:r>
    </w:p>
    <w:p w14:paraId="2E0ADFCD" w14:textId="77777777" w:rsidR="00824AD9" w:rsidRPr="00D73639" w:rsidRDefault="00F07FE1" w:rsidP="00DF7961">
      <w:pPr>
        <w:rPr>
          <w:rFonts w:ascii="Garamond" w:hAnsi="Garamond" w:cs="Calibri"/>
        </w:rPr>
      </w:pPr>
      <w:r w:rsidRPr="00F40E28">
        <w:rPr>
          <w:rFonts w:ascii="Garamond" w:hAnsi="Garamond"/>
        </w:rPr>
        <w:t>THCE</w:t>
      </w:r>
      <w:r w:rsidRPr="00D73639">
        <w:rPr>
          <w:rFonts w:ascii="Garamond" w:hAnsi="Garamond"/>
        </w:rPr>
        <w:t xml:space="preserve"> is a measure of total spending for health care in the </w:t>
      </w:r>
      <w:r w:rsidR="00D10D16">
        <w:rPr>
          <w:rFonts w:ascii="Garamond" w:hAnsi="Garamond"/>
        </w:rPr>
        <w:t>C</w:t>
      </w:r>
      <w:r w:rsidR="00D10D16" w:rsidRPr="00D73639">
        <w:rPr>
          <w:rFonts w:ascii="Garamond" w:hAnsi="Garamond"/>
        </w:rPr>
        <w:t>ommonwealth</w:t>
      </w:r>
      <w:r w:rsidRPr="00D73639">
        <w:rPr>
          <w:rFonts w:ascii="Garamond" w:hAnsi="Garamond"/>
        </w:rPr>
        <w:t xml:space="preserve">. Chapter 224 of the </w:t>
      </w:r>
      <w:r w:rsidR="00DA5A24" w:rsidRPr="00D73639">
        <w:rPr>
          <w:rFonts w:ascii="Garamond" w:hAnsi="Garamond"/>
        </w:rPr>
        <w:t>A</w:t>
      </w:r>
      <w:r w:rsidRPr="00D73639">
        <w:rPr>
          <w:rFonts w:ascii="Garamond" w:hAnsi="Garamond"/>
        </w:rPr>
        <w:t>cts</w:t>
      </w:r>
      <w:r w:rsidR="00457149" w:rsidRPr="00D73639">
        <w:rPr>
          <w:rFonts w:ascii="Garamond" w:hAnsi="Garamond"/>
        </w:rPr>
        <w:t xml:space="preserve"> of 2012</w:t>
      </w:r>
      <w:r w:rsidR="005C173D">
        <w:rPr>
          <w:rFonts w:ascii="Garamond" w:hAnsi="Garamond"/>
        </w:rPr>
        <w:t xml:space="preserve"> (Chapter 224)</w:t>
      </w:r>
      <w:r w:rsidR="00457149" w:rsidRPr="00D73639">
        <w:rPr>
          <w:rFonts w:ascii="Garamond" w:hAnsi="Garamond"/>
        </w:rPr>
        <w:t xml:space="preserve"> </w:t>
      </w:r>
      <w:r w:rsidRPr="00D73639">
        <w:rPr>
          <w:rFonts w:ascii="Garamond" w:hAnsi="Garamond"/>
        </w:rPr>
        <w:t xml:space="preserve">defines THCE as the annual per capita sum of all health care expenditures in the </w:t>
      </w:r>
      <w:r w:rsidR="00DA5A24" w:rsidRPr="00D73639">
        <w:rPr>
          <w:rFonts w:ascii="Garamond" w:hAnsi="Garamond"/>
        </w:rPr>
        <w:t>C</w:t>
      </w:r>
      <w:r w:rsidRPr="00D73639">
        <w:rPr>
          <w:rFonts w:ascii="Garamond" w:hAnsi="Garamond"/>
        </w:rPr>
        <w:t>ommonwealth from public and private sources, including: (</w:t>
      </w:r>
      <w:proofErr w:type="spellStart"/>
      <w:r w:rsidRPr="00D73639">
        <w:rPr>
          <w:rFonts w:ascii="Garamond" w:hAnsi="Garamond"/>
        </w:rPr>
        <w:t>i</w:t>
      </w:r>
      <w:proofErr w:type="spellEnd"/>
      <w:r w:rsidRPr="00D73639">
        <w:rPr>
          <w:rFonts w:ascii="Garamond" w:hAnsi="Garamond"/>
        </w:rPr>
        <w:t xml:space="preserve">) all categories of medical expenses and all non-claims related payments to providers, as included in the health status adjusted total medical expenses (TME) reported by </w:t>
      </w:r>
      <w:r w:rsidR="00DA5A24" w:rsidRPr="00D73639">
        <w:rPr>
          <w:rFonts w:ascii="Garamond" w:hAnsi="Garamond"/>
        </w:rPr>
        <w:t>CHIA</w:t>
      </w:r>
      <w:r w:rsidR="00824AD9" w:rsidRPr="00D73639">
        <w:rPr>
          <w:rFonts w:ascii="Garamond" w:hAnsi="Garamond"/>
        </w:rPr>
        <w:t xml:space="preserve">; (ii) all patient cost-sharing amounts, such as deductibles and copayments; and (iii) the net cost of private health insurance, or as otherwise defined in regulations promulgated by </w:t>
      </w:r>
      <w:r w:rsidR="00DA5A24" w:rsidRPr="00D73639">
        <w:rPr>
          <w:rFonts w:ascii="Garamond" w:hAnsi="Garamond"/>
        </w:rPr>
        <w:t>CHIA.</w:t>
      </w:r>
      <w:r w:rsidR="00824AD9" w:rsidRPr="00D73639">
        <w:rPr>
          <w:rFonts w:ascii="Garamond" w:hAnsi="Garamond"/>
          <w:vertAlign w:val="superscript"/>
        </w:rPr>
        <w:footnoteReference w:id="1"/>
      </w:r>
      <w:r w:rsidR="00824AD9" w:rsidRPr="00D73639">
        <w:rPr>
          <w:rFonts w:ascii="Garamond" w:hAnsi="Garamond" w:cs="Calibri"/>
        </w:rPr>
        <w:t xml:space="preserve"> </w:t>
      </w:r>
    </w:p>
    <w:p w14:paraId="72388B58" w14:textId="77777777" w:rsidR="00080E11" w:rsidRPr="00D73639" w:rsidRDefault="0010389C" w:rsidP="00080E11">
      <w:pPr>
        <w:rPr>
          <w:rFonts w:ascii="Garamond" w:hAnsi="Garamond"/>
        </w:rPr>
      </w:pPr>
      <w:r>
        <w:rPr>
          <w:rFonts w:ascii="Garamond" w:hAnsi="Garamond"/>
          <w:b/>
          <w:u w:val="single"/>
        </w:rPr>
        <w:t>Data Year</w:t>
      </w:r>
      <w:r w:rsidR="00080E11" w:rsidRPr="00D73639">
        <w:rPr>
          <w:rFonts w:ascii="Garamond" w:hAnsi="Garamond"/>
          <w:b/>
        </w:rPr>
        <w:t>:</w:t>
      </w:r>
      <w:r w:rsidR="00F07FE1" w:rsidRPr="00D73639">
        <w:rPr>
          <w:rFonts w:ascii="Garamond" w:hAnsi="Garamond"/>
        </w:rPr>
        <w:t xml:space="preserve"> </w:t>
      </w:r>
      <w:r w:rsidR="00DA5A24" w:rsidRPr="00D73639">
        <w:rPr>
          <w:rFonts w:ascii="Garamond" w:hAnsi="Garamond"/>
        </w:rPr>
        <w:t>C</w:t>
      </w:r>
      <w:r w:rsidR="00F07FE1" w:rsidRPr="00D73639">
        <w:rPr>
          <w:rFonts w:ascii="Garamond" w:hAnsi="Garamond"/>
        </w:rPr>
        <w:t>alendar years (CY)</w:t>
      </w:r>
      <w:r w:rsidR="00080E11" w:rsidRPr="00D73639">
        <w:rPr>
          <w:rFonts w:ascii="Garamond" w:hAnsi="Garamond"/>
        </w:rPr>
        <w:t xml:space="preserve"> 2012 </w:t>
      </w:r>
      <w:r w:rsidR="00A61833" w:rsidRPr="00D73639">
        <w:rPr>
          <w:rFonts w:ascii="Garamond" w:hAnsi="Garamond"/>
        </w:rPr>
        <w:t>and</w:t>
      </w:r>
      <w:r w:rsidR="00080E11" w:rsidRPr="00D73639">
        <w:rPr>
          <w:rFonts w:ascii="Garamond" w:hAnsi="Garamond"/>
        </w:rPr>
        <w:t xml:space="preserve"> 2013</w:t>
      </w:r>
    </w:p>
    <w:p w14:paraId="7E46A0EE" w14:textId="77777777" w:rsidR="00994B8F" w:rsidRPr="00D73639" w:rsidRDefault="00F07FE1" w:rsidP="00DF7961">
      <w:pPr>
        <w:rPr>
          <w:rFonts w:ascii="Garamond" w:hAnsi="Garamond"/>
          <w:b/>
        </w:rPr>
      </w:pPr>
      <w:r w:rsidRPr="00D73639">
        <w:rPr>
          <w:rFonts w:ascii="Garamond" w:hAnsi="Garamond"/>
          <w:b/>
          <w:u w:val="single"/>
        </w:rPr>
        <w:t>Data</w:t>
      </w:r>
      <w:r w:rsidR="00A61833" w:rsidRPr="00D73639">
        <w:rPr>
          <w:rFonts w:ascii="Garamond" w:hAnsi="Garamond"/>
          <w:b/>
          <w:u w:val="single"/>
        </w:rPr>
        <w:t xml:space="preserve"> </w:t>
      </w:r>
      <w:r w:rsidR="0010389C">
        <w:rPr>
          <w:rFonts w:ascii="Garamond" w:hAnsi="Garamond"/>
          <w:b/>
          <w:u w:val="single"/>
        </w:rPr>
        <w:t>Source</w:t>
      </w:r>
      <w:r w:rsidRPr="00D73639">
        <w:rPr>
          <w:rFonts w:ascii="Garamond" w:hAnsi="Garamond"/>
          <w:b/>
          <w:u w:val="single"/>
        </w:rPr>
        <w:t>:</w:t>
      </w:r>
      <w:r w:rsidR="00A35F48">
        <w:rPr>
          <w:rFonts w:ascii="Garamond" w:hAnsi="Garamond"/>
          <w:b/>
          <w:u w:val="single"/>
        </w:rPr>
        <w:t xml:space="preserve"> </w:t>
      </w:r>
    </w:p>
    <w:tbl>
      <w:tblPr>
        <w:tblStyle w:val="LightGrid-Accent1"/>
        <w:tblW w:w="10170" w:type="dxa"/>
        <w:tblInd w:w="108" w:type="dxa"/>
        <w:tblLayout w:type="fixed"/>
        <w:tblLook w:val="04A0" w:firstRow="1" w:lastRow="0" w:firstColumn="1" w:lastColumn="0" w:noHBand="0" w:noVBand="1"/>
      </w:tblPr>
      <w:tblGrid>
        <w:gridCol w:w="4410"/>
        <w:gridCol w:w="5760"/>
      </w:tblGrid>
      <w:tr w:rsidR="00994B8F" w:rsidRPr="00D73639" w14:paraId="7352CAC4" w14:textId="77777777" w:rsidTr="002D1F99">
        <w:trPr>
          <w:cnfStyle w:val="100000000000" w:firstRow="1" w:lastRow="0" w:firstColumn="0" w:lastColumn="0" w:oddVBand="0" w:evenVBand="0" w:oddHBand="0"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4410" w:type="dxa"/>
            <w:noWrap/>
            <w:hideMark/>
          </w:tcPr>
          <w:p w14:paraId="7698D54D" w14:textId="77777777" w:rsidR="00994B8F" w:rsidRPr="00A24AA3" w:rsidRDefault="0005122D" w:rsidP="00D16926">
            <w:pPr>
              <w:spacing w:after="0" w:line="240" w:lineRule="auto"/>
              <w:jc w:val="center"/>
              <w:rPr>
                <w:rFonts w:ascii="Garamond" w:eastAsia="Times New Roman" w:hAnsi="Garamond"/>
                <w:color w:val="000000"/>
                <w:sz w:val="20"/>
                <w:szCs w:val="20"/>
              </w:rPr>
            </w:pPr>
            <w:r w:rsidRPr="00A24AA3">
              <w:rPr>
                <w:rFonts w:ascii="Garamond" w:hAnsi="Garamond"/>
                <w:sz w:val="20"/>
                <w:szCs w:val="20"/>
              </w:rPr>
              <w:lastRenderedPageBreak/>
              <w:t xml:space="preserve">THCE </w:t>
            </w:r>
            <w:r w:rsidR="00994B8F" w:rsidRPr="00A24AA3">
              <w:rPr>
                <w:rFonts w:ascii="Garamond" w:eastAsia="Times New Roman" w:hAnsi="Garamond"/>
                <w:color w:val="000000"/>
                <w:sz w:val="20"/>
                <w:szCs w:val="20"/>
              </w:rPr>
              <w:t>Category</w:t>
            </w:r>
          </w:p>
        </w:tc>
        <w:tc>
          <w:tcPr>
            <w:tcW w:w="5760" w:type="dxa"/>
            <w:noWrap/>
            <w:hideMark/>
          </w:tcPr>
          <w:p w14:paraId="603BDB24" w14:textId="77777777" w:rsidR="00994B8F" w:rsidRPr="00A24AA3" w:rsidRDefault="00994B8F" w:rsidP="00D1692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Data Source</w:t>
            </w:r>
          </w:p>
        </w:tc>
      </w:tr>
      <w:tr w:rsidR="00994B8F" w:rsidRPr="00D73639" w14:paraId="79D6B0AC" w14:textId="77777777" w:rsidTr="002D1F99">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410" w:type="dxa"/>
            <w:noWrap/>
            <w:hideMark/>
          </w:tcPr>
          <w:p w14:paraId="4A39C779" w14:textId="77777777" w:rsidR="00994B8F" w:rsidRPr="00A24AA3" w:rsidRDefault="00994B8F" w:rsidP="00F40E28">
            <w:pPr>
              <w:spacing w:after="0" w:line="240" w:lineRule="auto"/>
              <w:rPr>
                <w:rFonts w:ascii="Garamond" w:eastAsia="Times New Roman" w:hAnsi="Garamond"/>
                <w:iCs/>
                <w:color w:val="000000"/>
                <w:sz w:val="20"/>
                <w:szCs w:val="20"/>
                <w:u w:val="single"/>
              </w:rPr>
            </w:pPr>
            <w:r w:rsidRPr="00A24AA3">
              <w:rPr>
                <w:rFonts w:ascii="Garamond" w:eastAsia="Times New Roman" w:hAnsi="Garamond"/>
                <w:iCs/>
                <w:color w:val="000000"/>
                <w:sz w:val="20"/>
                <w:szCs w:val="20"/>
                <w:u w:val="single"/>
              </w:rPr>
              <w:t>Commercially Insured</w:t>
            </w:r>
            <w:r w:rsidR="0010389C">
              <w:rPr>
                <w:rFonts w:ascii="Garamond" w:eastAsia="Times New Roman" w:hAnsi="Garamond"/>
                <w:iCs/>
                <w:color w:val="000000"/>
                <w:sz w:val="20"/>
                <w:szCs w:val="20"/>
                <w:u w:val="single"/>
              </w:rPr>
              <w:t xml:space="preserve"> Expenditures</w:t>
            </w:r>
          </w:p>
        </w:tc>
        <w:tc>
          <w:tcPr>
            <w:tcW w:w="5760" w:type="dxa"/>
            <w:noWrap/>
            <w:hideMark/>
          </w:tcPr>
          <w:p w14:paraId="25A659FB" w14:textId="77777777" w:rsidR="00994B8F" w:rsidRPr="00A24AA3" w:rsidRDefault="00994B8F" w:rsidP="00D16926">
            <w:pPr>
              <w:spacing w:after="0" w:line="240" w:lineRule="auto"/>
              <w:cnfStyle w:val="000000100000" w:firstRow="0" w:lastRow="0" w:firstColumn="0" w:lastColumn="0" w:oddVBand="0" w:evenVBand="0" w:oddHBand="1" w:evenHBand="0" w:firstRowFirstColumn="0" w:firstRowLastColumn="0" w:lastRowFirstColumn="0" w:lastRowLastColumn="0"/>
              <w:rPr>
                <w:rFonts w:ascii="Garamond" w:eastAsia="Times New Roman" w:hAnsi="Garamond"/>
                <w:b/>
                <w:bCs/>
                <w:i/>
                <w:iCs/>
                <w:color w:val="000000"/>
                <w:sz w:val="20"/>
                <w:szCs w:val="20"/>
              </w:rPr>
            </w:pPr>
            <w:r w:rsidRPr="00A24AA3">
              <w:rPr>
                <w:rFonts w:ascii="Garamond" w:eastAsia="Times New Roman" w:hAnsi="Garamond"/>
                <w:b/>
                <w:bCs/>
                <w:i/>
                <w:iCs/>
                <w:color w:val="000000"/>
                <w:sz w:val="20"/>
                <w:szCs w:val="20"/>
              </w:rPr>
              <w:t> </w:t>
            </w:r>
          </w:p>
        </w:tc>
      </w:tr>
      <w:tr w:rsidR="00994B8F" w:rsidRPr="00D73639" w14:paraId="43EA6D94" w14:textId="77777777" w:rsidTr="002D1F99">
        <w:trPr>
          <w:cnfStyle w:val="000000010000" w:firstRow="0" w:lastRow="0" w:firstColumn="0" w:lastColumn="0" w:oddVBand="0" w:evenVBand="0" w:oddHBand="0" w:evenHBand="1"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410" w:type="dxa"/>
            <w:noWrap/>
            <w:hideMark/>
          </w:tcPr>
          <w:p w14:paraId="3C44A30E" w14:textId="77777777" w:rsidR="00994B8F" w:rsidRPr="00A24AA3" w:rsidRDefault="002D1F99" w:rsidP="002D1F99">
            <w:pPr>
              <w:spacing w:after="0" w:line="240" w:lineRule="auto"/>
              <w:rPr>
                <w:rFonts w:ascii="Garamond" w:eastAsia="Times New Roman" w:hAnsi="Garamond"/>
                <w:b w:val="0"/>
                <w:color w:val="000000"/>
                <w:sz w:val="20"/>
                <w:szCs w:val="20"/>
              </w:rPr>
            </w:pPr>
            <w:r w:rsidRPr="00A24AA3">
              <w:rPr>
                <w:rFonts w:ascii="Garamond" w:eastAsia="Times New Roman" w:hAnsi="Garamond"/>
                <w:b w:val="0"/>
                <w:color w:val="000000"/>
                <w:sz w:val="20"/>
                <w:szCs w:val="20"/>
              </w:rPr>
              <w:t xml:space="preserve">    </w:t>
            </w:r>
            <w:r w:rsidR="00994B8F" w:rsidRPr="00A24AA3">
              <w:rPr>
                <w:rFonts w:ascii="Garamond" w:eastAsia="Times New Roman" w:hAnsi="Garamond"/>
                <w:b w:val="0"/>
                <w:color w:val="000000"/>
                <w:sz w:val="20"/>
                <w:szCs w:val="20"/>
              </w:rPr>
              <w:t>Commercial Full-Claim</w:t>
            </w:r>
          </w:p>
        </w:tc>
        <w:tc>
          <w:tcPr>
            <w:tcW w:w="5760" w:type="dxa"/>
            <w:noWrap/>
            <w:hideMark/>
          </w:tcPr>
          <w:p w14:paraId="30303192" w14:textId="77777777" w:rsidR="00994B8F" w:rsidRPr="00A24AA3" w:rsidRDefault="00994B8F" w:rsidP="00D16926">
            <w:pPr>
              <w:spacing w:after="0" w:line="240" w:lineRule="auto"/>
              <w:cnfStyle w:val="000000010000" w:firstRow="0" w:lastRow="0" w:firstColumn="0" w:lastColumn="0" w:oddVBand="0" w:evenVBand="0" w:oddHBand="0" w:evenHBand="1"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 xml:space="preserve">Reported by commercial payers to </w:t>
            </w:r>
            <w:r w:rsidR="00BF13CF" w:rsidRPr="00A24AA3">
              <w:rPr>
                <w:rFonts w:ascii="Garamond" w:eastAsia="Times New Roman" w:hAnsi="Garamond"/>
                <w:color w:val="000000"/>
                <w:sz w:val="20"/>
                <w:szCs w:val="20"/>
              </w:rPr>
              <w:t>CHIA</w:t>
            </w:r>
          </w:p>
        </w:tc>
      </w:tr>
      <w:tr w:rsidR="00994B8F" w:rsidRPr="00D73639" w14:paraId="68BAB3D2" w14:textId="77777777" w:rsidTr="002D1F99">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410" w:type="dxa"/>
            <w:noWrap/>
            <w:hideMark/>
          </w:tcPr>
          <w:p w14:paraId="137AA1CE" w14:textId="77777777" w:rsidR="00994B8F" w:rsidRPr="00A24AA3" w:rsidRDefault="002D1F99" w:rsidP="002D1F99">
            <w:pPr>
              <w:spacing w:after="0" w:line="240" w:lineRule="auto"/>
              <w:rPr>
                <w:rFonts w:ascii="Garamond" w:eastAsia="Times New Roman" w:hAnsi="Garamond"/>
                <w:b w:val="0"/>
                <w:color w:val="000000"/>
                <w:sz w:val="20"/>
                <w:szCs w:val="20"/>
              </w:rPr>
            </w:pPr>
            <w:r w:rsidRPr="00A24AA3">
              <w:rPr>
                <w:rFonts w:ascii="Garamond" w:eastAsia="Times New Roman" w:hAnsi="Garamond"/>
                <w:b w:val="0"/>
                <w:color w:val="000000"/>
                <w:sz w:val="20"/>
                <w:szCs w:val="20"/>
              </w:rPr>
              <w:t xml:space="preserve">    </w:t>
            </w:r>
            <w:r w:rsidR="00994B8F" w:rsidRPr="00A24AA3">
              <w:rPr>
                <w:rFonts w:ascii="Garamond" w:eastAsia="Times New Roman" w:hAnsi="Garamond"/>
                <w:b w:val="0"/>
                <w:color w:val="000000"/>
                <w:sz w:val="20"/>
                <w:szCs w:val="20"/>
              </w:rPr>
              <w:t>Commercial Partial-Claim</w:t>
            </w:r>
          </w:p>
        </w:tc>
        <w:tc>
          <w:tcPr>
            <w:tcW w:w="5760" w:type="dxa"/>
            <w:noWrap/>
            <w:hideMark/>
          </w:tcPr>
          <w:p w14:paraId="629E29E9" w14:textId="77777777" w:rsidR="00994B8F" w:rsidRPr="00A24AA3" w:rsidRDefault="00994B8F" w:rsidP="00D16926">
            <w:pPr>
              <w:spacing w:after="0" w:line="240" w:lineRule="auto"/>
              <w:cnfStyle w:val="000000100000" w:firstRow="0" w:lastRow="0" w:firstColumn="0" w:lastColumn="0" w:oddVBand="0" w:evenVBand="0" w:oddHBand="1" w:evenHBand="0"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 xml:space="preserve">Reported by commercial payers to </w:t>
            </w:r>
            <w:r w:rsidR="00BF13CF" w:rsidRPr="00A24AA3">
              <w:rPr>
                <w:rFonts w:ascii="Garamond" w:eastAsia="Times New Roman" w:hAnsi="Garamond"/>
                <w:color w:val="000000"/>
                <w:sz w:val="20"/>
                <w:szCs w:val="20"/>
              </w:rPr>
              <w:t>CHIA</w:t>
            </w:r>
          </w:p>
        </w:tc>
      </w:tr>
      <w:tr w:rsidR="00994B8F" w:rsidRPr="00D73639" w14:paraId="7E92A700" w14:textId="77777777" w:rsidTr="002D1F99">
        <w:trPr>
          <w:cnfStyle w:val="000000010000" w:firstRow="0" w:lastRow="0" w:firstColumn="0" w:lastColumn="0" w:oddVBand="0" w:evenVBand="0" w:oddHBand="0" w:evenHBand="1"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410" w:type="dxa"/>
            <w:noWrap/>
            <w:hideMark/>
          </w:tcPr>
          <w:p w14:paraId="5D9179DF" w14:textId="77777777" w:rsidR="00994B8F" w:rsidRPr="00A24AA3" w:rsidRDefault="002D1F99" w:rsidP="00F40E28">
            <w:pPr>
              <w:spacing w:after="0" w:line="240" w:lineRule="auto"/>
              <w:rPr>
                <w:rFonts w:ascii="Garamond" w:eastAsia="Times New Roman" w:hAnsi="Garamond"/>
                <w:b w:val="0"/>
                <w:color w:val="000000"/>
                <w:sz w:val="20"/>
                <w:szCs w:val="20"/>
              </w:rPr>
            </w:pPr>
            <w:r w:rsidRPr="00A24AA3">
              <w:rPr>
                <w:rFonts w:ascii="Garamond" w:eastAsia="Times New Roman" w:hAnsi="Garamond"/>
                <w:b w:val="0"/>
                <w:color w:val="000000"/>
                <w:sz w:val="20"/>
                <w:szCs w:val="20"/>
              </w:rPr>
              <w:t xml:space="preserve">    </w:t>
            </w:r>
            <w:r w:rsidR="00994B8F" w:rsidRPr="00A24AA3">
              <w:rPr>
                <w:rFonts w:ascii="Garamond" w:eastAsia="Times New Roman" w:hAnsi="Garamond"/>
                <w:b w:val="0"/>
                <w:color w:val="000000"/>
                <w:sz w:val="20"/>
                <w:szCs w:val="20"/>
              </w:rPr>
              <w:t xml:space="preserve">Non-TME Filers </w:t>
            </w:r>
          </w:p>
        </w:tc>
        <w:tc>
          <w:tcPr>
            <w:tcW w:w="5760" w:type="dxa"/>
            <w:noWrap/>
            <w:hideMark/>
          </w:tcPr>
          <w:p w14:paraId="30FD4025" w14:textId="77777777" w:rsidR="007C35B4" w:rsidRPr="00A24AA3" w:rsidRDefault="00994B8F" w:rsidP="00F40E28">
            <w:pPr>
              <w:spacing w:after="0" w:line="240" w:lineRule="auto"/>
              <w:cnfStyle w:val="000000010000" w:firstRow="0" w:lastRow="0" w:firstColumn="0" w:lastColumn="0" w:oddVBand="0" w:evenVBand="0" w:oddHBand="0" w:evenHBand="1"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Actuarial estimat</w:t>
            </w:r>
            <w:r w:rsidR="007C35B4" w:rsidRPr="00A24AA3">
              <w:rPr>
                <w:rFonts w:ascii="Garamond" w:eastAsia="Times New Roman" w:hAnsi="Garamond"/>
                <w:color w:val="000000"/>
                <w:sz w:val="20"/>
                <w:szCs w:val="20"/>
              </w:rPr>
              <w:t>ion from CMS</w:t>
            </w:r>
            <w:r w:rsidR="007220A9">
              <w:rPr>
                <w:rFonts w:ascii="Garamond" w:eastAsia="Times New Roman" w:hAnsi="Garamond"/>
                <w:color w:val="000000"/>
                <w:sz w:val="20"/>
                <w:szCs w:val="20"/>
                <w:vertAlign w:val="superscript"/>
              </w:rPr>
              <w:t>*</w:t>
            </w:r>
            <w:r w:rsidR="007C35B4" w:rsidRPr="00A24AA3">
              <w:rPr>
                <w:rFonts w:ascii="Garamond" w:eastAsia="Times New Roman" w:hAnsi="Garamond"/>
                <w:color w:val="000000"/>
                <w:sz w:val="20"/>
                <w:szCs w:val="20"/>
              </w:rPr>
              <w:t xml:space="preserve"> MLR </w:t>
            </w:r>
            <w:r w:rsidR="00F40E28">
              <w:rPr>
                <w:rFonts w:ascii="Garamond" w:eastAsia="Times New Roman" w:hAnsi="Garamond"/>
                <w:color w:val="000000"/>
                <w:sz w:val="20"/>
                <w:szCs w:val="20"/>
              </w:rPr>
              <w:t>r</w:t>
            </w:r>
            <w:r w:rsidR="007C35B4" w:rsidRPr="00A24AA3">
              <w:rPr>
                <w:rFonts w:ascii="Garamond" w:eastAsia="Times New Roman" w:hAnsi="Garamond"/>
                <w:color w:val="000000"/>
                <w:sz w:val="20"/>
                <w:szCs w:val="20"/>
              </w:rPr>
              <w:t>eporting data</w:t>
            </w:r>
            <w:r w:rsidR="00FF2ABE">
              <w:rPr>
                <w:rFonts w:ascii="Garamond" w:eastAsia="Times New Roman" w:hAnsi="Garamond"/>
                <w:color w:val="000000"/>
                <w:sz w:val="20"/>
                <w:szCs w:val="20"/>
              </w:rPr>
              <w:t xml:space="preserve"> by commercial payers with Massachusetts contracts</w:t>
            </w:r>
          </w:p>
        </w:tc>
      </w:tr>
      <w:tr w:rsidR="00994B8F" w:rsidRPr="00D73639" w14:paraId="4660CA8A" w14:textId="77777777" w:rsidTr="002D1F99">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410" w:type="dxa"/>
            <w:noWrap/>
            <w:hideMark/>
          </w:tcPr>
          <w:p w14:paraId="5B1DA9DA" w14:textId="77777777" w:rsidR="00994B8F" w:rsidRPr="00A24AA3" w:rsidRDefault="00994B8F" w:rsidP="00F40E28">
            <w:pPr>
              <w:spacing w:after="0" w:line="240" w:lineRule="auto"/>
              <w:rPr>
                <w:rFonts w:ascii="Garamond" w:eastAsia="Times New Roman" w:hAnsi="Garamond"/>
                <w:iCs/>
                <w:color w:val="000000"/>
                <w:sz w:val="20"/>
                <w:szCs w:val="20"/>
                <w:u w:val="single"/>
              </w:rPr>
            </w:pPr>
            <w:r w:rsidRPr="00A24AA3">
              <w:rPr>
                <w:rFonts w:ascii="Garamond" w:eastAsia="Times New Roman" w:hAnsi="Garamond"/>
                <w:iCs/>
                <w:color w:val="000000"/>
                <w:sz w:val="20"/>
                <w:szCs w:val="20"/>
                <w:u w:val="single"/>
              </w:rPr>
              <w:t>Public Coverage</w:t>
            </w:r>
            <w:r w:rsidR="0010389C">
              <w:rPr>
                <w:rFonts w:ascii="Garamond" w:eastAsia="Times New Roman" w:hAnsi="Garamond"/>
                <w:iCs/>
                <w:color w:val="000000"/>
                <w:sz w:val="20"/>
                <w:szCs w:val="20"/>
                <w:u w:val="single"/>
              </w:rPr>
              <w:t xml:space="preserve"> Expenditures</w:t>
            </w:r>
            <w:r w:rsidR="00347225">
              <w:rPr>
                <w:rFonts w:ascii="Garamond" w:eastAsia="Times New Roman" w:hAnsi="Garamond"/>
                <w:iCs/>
                <w:color w:val="000000"/>
                <w:sz w:val="20"/>
                <w:szCs w:val="20"/>
                <w:u w:val="single"/>
              </w:rPr>
              <w:t xml:space="preserve"> </w:t>
            </w:r>
          </w:p>
        </w:tc>
        <w:tc>
          <w:tcPr>
            <w:tcW w:w="5760" w:type="dxa"/>
            <w:noWrap/>
            <w:hideMark/>
          </w:tcPr>
          <w:p w14:paraId="1C09FDF8" w14:textId="77777777" w:rsidR="00994B8F" w:rsidRPr="00A24AA3" w:rsidRDefault="00994B8F" w:rsidP="00D16926">
            <w:pPr>
              <w:spacing w:after="0" w:line="240" w:lineRule="auto"/>
              <w:cnfStyle w:val="000000100000" w:firstRow="0" w:lastRow="0" w:firstColumn="0" w:lastColumn="0" w:oddVBand="0" w:evenVBand="0" w:oddHBand="1" w:evenHBand="0"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 </w:t>
            </w:r>
          </w:p>
        </w:tc>
      </w:tr>
      <w:tr w:rsidR="00994B8F" w:rsidRPr="00D73639" w14:paraId="0255C734" w14:textId="77777777" w:rsidTr="002D1F99">
        <w:trPr>
          <w:cnfStyle w:val="000000010000" w:firstRow="0" w:lastRow="0" w:firstColumn="0" w:lastColumn="0" w:oddVBand="0" w:evenVBand="0" w:oddHBand="0" w:evenHBand="1"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410" w:type="dxa"/>
            <w:noWrap/>
            <w:hideMark/>
          </w:tcPr>
          <w:p w14:paraId="0A46F9DC" w14:textId="77777777" w:rsidR="00994B8F" w:rsidRPr="00A24AA3" w:rsidRDefault="002D1F99" w:rsidP="0077009C">
            <w:pPr>
              <w:spacing w:after="0" w:line="240" w:lineRule="auto"/>
              <w:rPr>
                <w:rFonts w:ascii="Garamond" w:eastAsia="Times New Roman" w:hAnsi="Garamond"/>
                <w:b w:val="0"/>
                <w:color w:val="000000"/>
                <w:sz w:val="20"/>
                <w:szCs w:val="20"/>
              </w:rPr>
            </w:pPr>
            <w:r w:rsidRPr="00A24AA3">
              <w:rPr>
                <w:rFonts w:ascii="Garamond" w:eastAsia="Times New Roman" w:hAnsi="Garamond"/>
                <w:b w:val="0"/>
                <w:color w:val="000000"/>
                <w:sz w:val="20"/>
                <w:szCs w:val="20"/>
              </w:rPr>
              <w:t xml:space="preserve">    </w:t>
            </w:r>
            <w:proofErr w:type="spellStart"/>
            <w:r w:rsidR="00014F68" w:rsidRPr="00A24AA3">
              <w:rPr>
                <w:rFonts w:ascii="Garamond" w:eastAsia="Times New Roman" w:hAnsi="Garamond"/>
                <w:b w:val="0"/>
                <w:color w:val="000000"/>
                <w:sz w:val="20"/>
                <w:szCs w:val="20"/>
              </w:rPr>
              <w:t>MassHealth</w:t>
            </w:r>
            <w:proofErr w:type="spellEnd"/>
            <w:r w:rsidR="00014F68" w:rsidRPr="00A24AA3">
              <w:rPr>
                <w:rFonts w:ascii="Garamond" w:eastAsia="Times New Roman" w:hAnsi="Garamond"/>
                <w:b w:val="0"/>
                <w:color w:val="000000"/>
                <w:sz w:val="20"/>
                <w:szCs w:val="20"/>
              </w:rPr>
              <w:t xml:space="preserve"> MCOs</w:t>
            </w:r>
          </w:p>
        </w:tc>
        <w:tc>
          <w:tcPr>
            <w:tcW w:w="5760" w:type="dxa"/>
            <w:noWrap/>
            <w:hideMark/>
          </w:tcPr>
          <w:p w14:paraId="5FEC2BB6" w14:textId="77777777" w:rsidR="00994B8F" w:rsidRPr="00A24AA3" w:rsidRDefault="00994B8F" w:rsidP="00D16926">
            <w:pPr>
              <w:spacing w:after="0" w:line="240" w:lineRule="auto"/>
              <w:cnfStyle w:val="000000010000" w:firstRow="0" w:lastRow="0" w:firstColumn="0" w:lastColumn="0" w:oddVBand="0" w:evenVBand="0" w:oddHBand="0" w:evenHBand="1"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 xml:space="preserve">Reported by commercial payers to </w:t>
            </w:r>
            <w:r w:rsidR="00BF13CF" w:rsidRPr="00A24AA3">
              <w:rPr>
                <w:rFonts w:ascii="Garamond" w:eastAsia="Times New Roman" w:hAnsi="Garamond"/>
                <w:color w:val="000000"/>
                <w:sz w:val="20"/>
                <w:szCs w:val="20"/>
              </w:rPr>
              <w:t>CHIA</w:t>
            </w:r>
          </w:p>
        </w:tc>
      </w:tr>
      <w:tr w:rsidR="0077009C" w:rsidRPr="00D73639" w14:paraId="29C2EBB2" w14:textId="77777777" w:rsidTr="002D1F99">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410" w:type="dxa"/>
            <w:noWrap/>
          </w:tcPr>
          <w:p w14:paraId="2FC7C074" w14:textId="77777777" w:rsidR="0077009C" w:rsidRPr="00F40E28" w:rsidRDefault="0077009C" w:rsidP="002D1F99">
            <w:pPr>
              <w:spacing w:after="0" w:line="240" w:lineRule="auto"/>
              <w:rPr>
                <w:rFonts w:ascii="Garamond" w:eastAsia="Times New Roman" w:hAnsi="Garamond"/>
                <w:b w:val="0"/>
                <w:color w:val="000000"/>
                <w:sz w:val="20"/>
                <w:szCs w:val="20"/>
              </w:rPr>
            </w:pPr>
            <w:r w:rsidRPr="00F40E28">
              <w:rPr>
                <w:rFonts w:ascii="Garamond" w:eastAsia="Times New Roman" w:hAnsi="Garamond"/>
                <w:b w:val="0"/>
                <w:color w:val="000000"/>
                <w:sz w:val="20"/>
                <w:szCs w:val="20"/>
              </w:rPr>
              <w:t xml:space="preserve">   </w:t>
            </w:r>
            <w:r w:rsidR="0010389C">
              <w:rPr>
                <w:rFonts w:ascii="Garamond" w:eastAsia="Times New Roman" w:hAnsi="Garamond"/>
                <w:b w:val="0"/>
                <w:color w:val="000000"/>
                <w:sz w:val="20"/>
                <w:szCs w:val="20"/>
              </w:rPr>
              <w:t xml:space="preserve"> </w:t>
            </w:r>
            <w:r w:rsidRPr="00F40E28">
              <w:rPr>
                <w:rFonts w:ascii="Garamond" w:eastAsia="Times New Roman" w:hAnsi="Garamond"/>
                <w:b w:val="0"/>
                <w:color w:val="000000"/>
                <w:sz w:val="20"/>
                <w:szCs w:val="20"/>
              </w:rPr>
              <w:t>Commonwealth Care MCOs</w:t>
            </w:r>
          </w:p>
        </w:tc>
        <w:tc>
          <w:tcPr>
            <w:tcW w:w="5760" w:type="dxa"/>
          </w:tcPr>
          <w:p w14:paraId="1D2EDC37" w14:textId="77777777" w:rsidR="0077009C" w:rsidRPr="00A24AA3" w:rsidRDefault="0077009C" w:rsidP="00D16926">
            <w:pPr>
              <w:spacing w:after="0" w:line="240" w:lineRule="auto"/>
              <w:cnfStyle w:val="000000100000" w:firstRow="0" w:lastRow="0" w:firstColumn="0" w:lastColumn="0" w:oddVBand="0" w:evenVBand="0" w:oddHBand="1" w:evenHBand="0"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Reported by commercial payers to CHIA</w:t>
            </w:r>
          </w:p>
        </w:tc>
      </w:tr>
      <w:tr w:rsidR="0077009C" w:rsidRPr="00D73639" w14:paraId="5A117D69" w14:textId="77777777" w:rsidTr="002D1F99">
        <w:trPr>
          <w:cnfStyle w:val="000000010000" w:firstRow="0" w:lastRow="0" w:firstColumn="0" w:lastColumn="0" w:oddVBand="0" w:evenVBand="0" w:oddHBand="0" w:evenHBand="1"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410" w:type="dxa"/>
            <w:noWrap/>
          </w:tcPr>
          <w:p w14:paraId="35D8CA9B" w14:textId="77777777" w:rsidR="0077009C" w:rsidRPr="00F40E28" w:rsidRDefault="0077009C" w:rsidP="002D1F99">
            <w:pPr>
              <w:spacing w:after="0" w:line="240" w:lineRule="auto"/>
              <w:rPr>
                <w:rFonts w:ascii="Garamond" w:eastAsia="Times New Roman" w:hAnsi="Garamond"/>
                <w:b w:val="0"/>
                <w:color w:val="000000"/>
                <w:sz w:val="20"/>
                <w:szCs w:val="20"/>
              </w:rPr>
            </w:pPr>
            <w:r w:rsidRPr="00F40E28">
              <w:rPr>
                <w:rFonts w:ascii="Garamond" w:eastAsia="Times New Roman" w:hAnsi="Garamond"/>
                <w:b w:val="0"/>
                <w:color w:val="000000"/>
                <w:sz w:val="20"/>
                <w:szCs w:val="20"/>
              </w:rPr>
              <w:t xml:space="preserve">   </w:t>
            </w:r>
            <w:proofErr w:type="spellStart"/>
            <w:r w:rsidRPr="00F40E28">
              <w:rPr>
                <w:rFonts w:ascii="Garamond" w:eastAsia="Times New Roman" w:hAnsi="Garamond"/>
                <w:b w:val="0"/>
                <w:color w:val="000000"/>
                <w:sz w:val="20"/>
                <w:szCs w:val="20"/>
              </w:rPr>
              <w:t>MassHealth</w:t>
            </w:r>
            <w:proofErr w:type="spellEnd"/>
            <w:r w:rsidRPr="00F40E28">
              <w:rPr>
                <w:rFonts w:ascii="Garamond" w:eastAsia="Times New Roman" w:hAnsi="Garamond"/>
                <w:b w:val="0"/>
                <w:color w:val="000000"/>
                <w:sz w:val="20"/>
                <w:szCs w:val="20"/>
              </w:rPr>
              <w:t xml:space="preserve"> Dually Eligible Programs</w:t>
            </w:r>
          </w:p>
        </w:tc>
        <w:tc>
          <w:tcPr>
            <w:tcW w:w="5760" w:type="dxa"/>
          </w:tcPr>
          <w:p w14:paraId="58E165F6" w14:textId="77777777" w:rsidR="0077009C" w:rsidRPr="00A24AA3" w:rsidRDefault="0077009C" w:rsidP="00D16926">
            <w:pPr>
              <w:spacing w:after="0" w:line="240" w:lineRule="auto"/>
              <w:cnfStyle w:val="000000010000" w:firstRow="0" w:lastRow="0" w:firstColumn="0" w:lastColumn="0" w:oddVBand="0" w:evenVBand="0" w:oddHBand="0" w:evenHBand="1"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Reported by commercial payers to CHIA</w:t>
            </w:r>
          </w:p>
        </w:tc>
      </w:tr>
      <w:tr w:rsidR="00994B8F" w:rsidRPr="00D73639" w14:paraId="36F95605" w14:textId="77777777" w:rsidTr="002D1F99">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410" w:type="dxa"/>
            <w:noWrap/>
            <w:hideMark/>
          </w:tcPr>
          <w:p w14:paraId="6C050653" w14:textId="77777777" w:rsidR="00994B8F" w:rsidRPr="00A24AA3" w:rsidRDefault="002D1F99" w:rsidP="0077009C">
            <w:pPr>
              <w:spacing w:after="0" w:line="240" w:lineRule="auto"/>
              <w:rPr>
                <w:rFonts w:ascii="Garamond" w:eastAsia="Times New Roman" w:hAnsi="Garamond"/>
                <w:b w:val="0"/>
                <w:color w:val="000000"/>
                <w:sz w:val="20"/>
                <w:szCs w:val="20"/>
              </w:rPr>
            </w:pPr>
            <w:r w:rsidRPr="00A24AA3">
              <w:rPr>
                <w:rFonts w:ascii="Garamond" w:eastAsia="Times New Roman" w:hAnsi="Garamond"/>
                <w:b w:val="0"/>
                <w:color w:val="000000"/>
                <w:sz w:val="20"/>
                <w:szCs w:val="20"/>
              </w:rPr>
              <w:t xml:space="preserve">    </w:t>
            </w:r>
            <w:proofErr w:type="spellStart"/>
            <w:r w:rsidR="00994B8F" w:rsidRPr="00A24AA3">
              <w:rPr>
                <w:rFonts w:ascii="Garamond" w:eastAsia="Times New Roman" w:hAnsi="Garamond"/>
                <w:b w:val="0"/>
                <w:color w:val="000000"/>
                <w:sz w:val="20"/>
                <w:szCs w:val="20"/>
              </w:rPr>
              <w:t>MassHealth</w:t>
            </w:r>
            <w:proofErr w:type="spellEnd"/>
            <w:r w:rsidR="00994B8F" w:rsidRPr="00A24AA3">
              <w:rPr>
                <w:rFonts w:ascii="Garamond" w:eastAsia="Times New Roman" w:hAnsi="Garamond"/>
                <w:b w:val="0"/>
                <w:color w:val="000000"/>
                <w:sz w:val="20"/>
                <w:szCs w:val="20"/>
              </w:rPr>
              <w:t xml:space="preserve"> (PCC, FFS, PACE, SCO, and Other)</w:t>
            </w:r>
          </w:p>
        </w:tc>
        <w:tc>
          <w:tcPr>
            <w:tcW w:w="5760" w:type="dxa"/>
            <w:hideMark/>
          </w:tcPr>
          <w:p w14:paraId="17D08E8C" w14:textId="77777777" w:rsidR="00994B8F" w:rsidRPr="00A24AA3" w:rsidRDefault="00824AD9" w:rsidP="00D16926">
            <w:pPr>
              <w:spacing w:after="0" w:line="240" w:lineRule="auto"/>
              <w:cnfStyle w:val="000000100000" w:firstRow="0" w:lastRow="0" w:firstColumn="0" w:lastColumn="0" w:oddVBand="0" w:evenVBand="0" w:oddHBand="1" w:evenHBand="0"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 xml:space="preserve">Reported by </w:t>
            </w:r>
            <w:proofErr w:type="spellStart"/>
            <w:r w:rsidRPr="00A24AA3">
              <w:rPr>
                <w:rFonts w:ascii="Garamond" w:eastAsia="Times New Roman" w:hAnsi="Garamond"/>
                <w:color w:val="000000"/>
                <w:sz w:val="20"/>
                <w:szCs w:val="20"/>
              </w:rPr>
              <w:t>MassHealth</w:t>
            </w:r>
            <w:proofErr w:type="spellEnd"/>
            <w:r w:rsidR="00994B8F" w:rsidRPr="00A24AA3">
              <w:rPr>
                <w:rFonts w:ascii="Garamond" w:eastAsia="Times New Roman" w:hAnsi="Garamond"/>
                <w:color w:val="000000"/>
                <w:sz w:val="20"/>
                <w:szCs w:val="20"/>
              </w:rPr>
              <w:t xml:space="preserve"> </w:t>
            </w:r>
          </w:p>
        </w:tc>
      </w:tr>
      <w:tr w:rsidR="00994B8F" w:rsidRPr="00D73639" w14:paraId="0BAAB123" w14:textId="77777777" w:rsidTr="002D1F99">
        <w:trPr>
          <w:cnfStyle w:val="000000010000" w:firstRow="0" w:lastRow="0" w:firstColumn="0" w:lastColumn="0" w:oddVBand="0" w:evenVBand="0" w:oddHBand="0" w:evenHBand="1"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410" w:type="dxa"/>
            <w:noWrap/>
            <w:hideMark/>
          </w:tcPr>
          <w:p w14:paraId="1665CA65" w14:textId="77777777" w:rsidR="00994B8F" w:rsidRPr="00A24AA3" w:rsidRDefault="002D1F99" w:rsidP="002D1F99">
            <w:pPr>
              <w:spacing w:after="0" w:line="240" w:lineRule="auto"/>
              <w:rPr>
                <w:rFonts w:ascii="Garamond" w:eastAsia="Times New Roman" w:hAnsi="Garamond"/>
                <w:b w:val="0"/>
                <w:color w:val="000000"/>
                <w:sz w:val="20"/>
                <w:szCs w:val="20"/>
              </w:rPr>
            </w:pPr>
            <w:r w:rsidRPr="00A24AA3">
              <w:rPr>
                <w:rFonts w:ascii="Garamond" w:eastAsia="Times New Roman" w:hAnsi="Garamond"/>
                <w:b w:val="0"/>
                <w:color w:val="000000"/>
                <w:sz w:val="20"/>
                <w:szCs w:val="20"/>
              </w:rPr>
              <w:t xml:space="preserve">    </w:t>
            </w:r>
            <w:r w:rsidR="00994B8F" w:rsidRPr="00A24AA3">
              <w:rPr>
                <w:rFonts w:ascii="Garamond" w:eastAsia="Times New Roman" w:hAnsi="Garamond"/>
                <w:b w:val="0"/>
                <w:color w:val="000000"/>
                <w:sz w:val="20"/>
                <w:szCs w:val="20"/>
              </w:rPr>
              <w:t>Medicare Advantage</w:t>
            </w:r>
          </w:p>
        </w:tc>
        <w:tc>
          <w:tcPr>
            <w:tcW w:w="5760" w:type="dxa"/>
            <w:noWrap/>
            <w:hideMark/>
          </w:tcPr>
          <w:p w14:paraId="5A125098" w14:textId="77777777" w:rsidR="00994B8F" w:rsidRPr="00A24AA3" w:rsidRDefault="00994B8F" w:rsidP="00D16926">
            <w:pPr>
              <w:spacing w:after="0" w:line="240" w:lineRule="auto"/>
              <w:cnfStyle w:val="000000010000" w:firstRow="0" w:lastRow="0" w:firstColumn="0" w:lastColumn="0" w:oddVBand="0" w:evenVBand="0" w:oddHBand="0" w:evenHBand="1"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 xml:space="preserve">Reported by commercial payers to </w:t>
            </w:r>
            <w:r w:rsidR="00BF13CF" w:rsidRPr="00A24AA3">
              <w:rPr>
                <w:rFonts w:ascii="Garamond" w:eastAsia="Times New Roman" w:hAnsi="Garamond"/>
                <w:color w:val="000000"/>
                <w:sz w:val="20"/>
                <w:szCs w:val="20"/>
              </w:rPr>
              <w:t>CHIA</w:t>
            </w:r>
          </w:p>
        </w:tc>
      </w:tr>
      <w:tr w:rsidR="00994B8F" w:rsidRPr="00D73639" w14:paraId="117FB919" w14:textId="77777777" w:rsidTr="002D1F99">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410" w:type="dxa"/>
            <w:noWrap/>
            <w:hideMark/>
          </w:tcPr>
          <w:p w14:paraId="2E5A3DFE" w14:textId="77777777" w:rsidR="00994B8F" w:rsidRPr="00A24AA3" w:rsidRDefault="002D1F99" w:rsidP="002D1F99">
            <w:pPr>
              <w:spacing w:after="0" w:line="240" w:lineRule="auto"/>
              <w:rPr>
                <w:rFonts w:ascii="Garamond" w:eastAsia="Times New Roman" w:hAnsi="Garamond"/>
                <w:b w:val="0"/>
                <w:color w:val="000000"/>
                <w:sz w:val="20"/>
                <w:szCs w:val="20"/>
              </w:rPr>
            </w:pPr>
            <w:r w:rsidRPr="00A24AA3">
              <w:rPr>
                <w:rFonts w:ascii="Garamond" w:eastAsia="Times New Roman" w:hAnsi="Garamond"/>
                <w:b w:val="0"/>
                <w:color w:val="000000"/>
                <w:sz w:val="20"/>
                <w:szCs w:val="20"/>
              </w:rPr>
              <w:t xml:space="preserve">    </w:t>
            </w:r>
            <w:r w:rsidR="00994B8F" w:rsidRPr="00A24AA3">
              <w:rPr>
                <w:rFonts w:ascii="Garamond" w:eastAsia="Times New Roman" w:hAnsi="Garamond"/>
                <w:b w:val="0"/>
                <w:color w:val="000000"/>
                <w:sz w:val="20"/>
                <w:szCs w:val="20"/>
              </w:rPr>
              <w:t>Medicare Parts A and B</w:t>
            </w:r>
          </w:p>
        </w:tc>
        <w:tc>
          <w:tcPr>
            <w:tcW w:w="5760" w:type="dxa"/>
            <w:hideMark/>
          </w:tcPr>
          <w:p w14:paraId="57090E8A" w14:textId="77777777" w:rsidR="00994B8F" w:rsidRPr="00A24AA3" w:rsidRDefault="00994B8F" w:rsidP="00D16926">
            <w:pPr>
              <w:spacing w:after="0" w:line="240" w:lineRule="auto"/>
              <w:cnfStyle w:val="000000100000" w:firstRow="0" w:lastRow="0" w:firstColumn="0" w:lastColumn="0" w:oddVBand="0" w:evenVBand="0" w:oddHBand="1" w:evenHBand="0"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 xml:space="preserve">CMS data summary to </w:t>
            </w:r>
            <w:r w:rsidR="00BF13CF" w:rsidRPr="00A24AA3">
              <w:rPr>
                <w:rFonts w:ascii="Garamond" w:eastAsia="Times New Roman" w:hAnsi="Garamond"/>
                <w:color w:val="000000"/>
                <w:sz w:val="20"/>
                <w:szCs w:val="20"/>
              </w:rPr>
              <w:t>CHIA</w:t>
            </w:r>
          </w:p>
        </w:tc>
      </w:tr>
      <w:tr w:rsidR="00994B8F" w:rsidRPr="00D73639" w14:paraId="6B3A42F0" w14:textId="77777777" w:rsidTr="002D1F99">
        <w:trPr>
          <w:cnfStyle w:val="000000010000" w:firstRow="0" w:lastRow="0" w:firstColumn="0" w:lastColumn="0" w:oddVBand="0" w:evenVBand="0" w:oddHBand="0" w:evenHBand="1"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410" w:type="dxa"/>
            <w:noWrap/>
            <w:hideMark/>
          </w:tcPr>
          <w:p w14:paraId="6BECBC50" w14:textId="77777777" w:rsidR="00994B8F" w:rsidRPr="00A24AA3" w:rsidRDefault="002D1F99" w:rsidP="002D1F99">
            <w:pPr>
              <w:spacing w:after="0" w:line="240" w:lineRule="auto"/>
              <w:rPr>
                <w:rFonts w:ascii="Garamond" w:eastAsia="Times New Roman" w:hAnsi="Garamond"/>
                <w:b w:val="0"/>
                <w:color w:val="000000"/>
                <w:sz w:val="20"/>
                <w:szCs w:val="20"/>
              </w:rPr>
            </w:pPr>
            <w:r w:rsidRPr="00A24AA3">
              <w:rPr>
                <w:rFonts w:ascii="Garamond" w:eastAsia="Times New Roman" w:hAnsi="Garamond"/>
                <w:b w:val="0"/>
                <w:color w:val="000000"/>
                <w:sz w:val="20"/>
                <w:szCs w:val="20"/>
              </w:rPr>
              <w:t xml:space="preserve">    </w:t>
            </w:r>
            <w:r w:rsidR="00994B8F" w:rsidRPr="00A24AA3">
              <w:rPr>
                <w:rFonts w:ascii="Garamond" w:eastAsia="Times New Roman" w:hAnsi="Garamond"/>
                <w:b w:val="0"/>
                <w:color w:val="000000"/>
                <w:sz w:val="20"/>
                <w:szCs w:val="20"/>
              </w:rPr>
              <w:t>Medicare Part D</w:t>
            </w:r>
          </w:p>
        </w:tc>
        <w:tc>
          <w:tcPr>
            <w:tcW w:w="5760" w:type="dxa"/>
            <w:noWrap/>
            <w:hideMark/>
          </w:tcPr>
          <w:p w14:paraId="740126CC" w14:textId="77777777" w:rsidR="00994B8F" w:rsidRPr="00A24AA3" w:rsidRDefault="00457149" w:rsidP="00D16926">
            <w:pPr>
              <w:spacing w:after="0" w:line="240" w:lineRule="auto"/>
              <w:cnfStyle w:val="000000010000" w:firstRow="0" w:lastRow="0" w:firstColumn="0" w:lastColumn="0" w:oddVBand="0" w:evenVBand="0" w:oddHBand="0" w:evenHBand="1"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 xml:space="preserve">CMS data summary to </w:t>
            </w:r>
            <w:r w:rsidR="00BF13CF" w:rsidRPr="00A24AA3">
              <w:rPr>
                <w:rFonts w:ascii="Garamond" w:eastAsia="Times New Roman" w:hAnsi="Garamond"/>
                <w:color w:val="000000"/>
                <w:sz w:val="20"/>
                <w:szCs w:val="20"/>
              </w:rPr>
              <w:t>CHIA</w:t>
            </w:r>
          </w:p>
        </w:tc>
      </w:tr>
      <w:tr w:rsidR="00994B8F" w:rsidRPr="00D73639" w14:paraId="0CEE1771" w14:textId="77777777" w:rsidTr="002D1F99">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410" w:type="dxa"/>
            <w:noWrap/>
            <w:hideMark/>
          </w:tcPr>
          <w:p w14:paraId="3526E182" w14:textId="77777777" w:rsidR="00994B8F" w:rsidRPr="00A24AA3" w:rsidRDefault="002D1F99" w:rsidP="002D1F99">
            <w:pPr>
              <w:spacing w:after="0" w:line="240" w:lineRule="auto"/>
              <w:rPr>
                <w:rFonts w:ascii="Garamond" w:eastAsia="Times New Roman" w:hAnsi="Garamond"/>
                <w:b w:val="0"/>
                <w:color w:val="000000"/>
                <w:sz w:val="20"/>
                <w:szCs w:val="20"/>
              </w:rPr>
            </w:pPr>
            <w:r w:rsidRPr="00A24AA3">
              <w:rPr>
                <w:rFonts w:ascii="Garamond" w:eastAsia="Times New Roman" w:hAnsi="Garamond"/>
                <w:b w:val="0"/>
                <w:color w:val="000000"/>
                <w:sz w:val="20"/>
                <w:szCs w:val="20"/>
              </w:rPr>
              <w:t xml:space="preserve">    </w:t>
            </w:r>
            <w:r w:rsidR="00824AD9" w:rsidRPr="00A24AA3">
              <w:rPr>
                <w:rFonts w:ascii="Garamond" w:eastAsia="Times New Roman" w:hAnsi="Garamond"/>
                <w:b w:val="0"/>
                <w:color w:val="000000"/>
                <w:sz w:val="20"/>
                <w:szCs w:val="20"/>
              </w:rPr>
              <w:t>Health Safety Net</w:t>
            </w:r>
          </w:p>
        </w:tc>
        <w:tc>
          <w:tcPr>
            <w:tcW w:w="5760" w:type="dxa"/>
            <w:hideMark/>
          </w:tcPr>
          <w:p w14:paraId="2FA5F67E" w14:textId="77777777" w:rsidR="00994B8F" w:rsidRPr="00A24AA3" w:rsidRDefault="002D1F99" w:rsidP="00D16926">
            <w:pPr>
              <w:spacing w:after="0" w:line="240" w:lineRule="auto"/>
              <w:cnfStyle w:val="000000100000" w:firstRow="0" w:lastRow="0" w:firstColumn="0" w:lastColumn="0" w:oddVBand="0" w:evenVBand="0" w:oddHBand="1" w:evenHBand="0"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Office of Health Safety Net</w:t>
            </w:r>
          </w:p>
        </w:tc>
      </w:tr>
      <w:tr w:rsidR="00994B8F" w:rsidRPr="00D73639" w14:paraId="33984DCA" w14:textId="77777777" w:rsidTr="002D1F99">
        <w:trPr>
          <w:cnfStyle w:val="000000010000" w:firstRow="0" w:lastRow="0" w:firstColumn="0" w:lastColumn="0" w:oddVBand="0" w:evenVBand="0" w:oddHBand="0" w:evenHBand="1"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410" w:type="dxa"/>
            <w:noWrap/>
            <w:hideMark/>
          </w:tcPr>
          <w:p w14:paraId="25061176" w14:textId="77777777" w:rsidR="00994B8F" w:rsidRPr="00A24AA3" w:rsidRDefault="002D1F99" w:rsidP="002D1F99">
            <w:pPr>
              <w:spacing w:after="0" w:line="240" w:lineRule="auto"/>
              <w:rPr>
                <w:rFonts w:ascii="Garamond" w:eastAsia="Times New Roman" w:hAnsi="Garamond"/>
                <w:b w:val="0"/>
                <w:color w:val="000000"/>
                <w:sz w:val="20"/>
                <w:szCs w:val="20"/>
              </w:rPr>
            </w:pPr>
            <w:r w:rsidRPr="00A24AA3">
              <w:rPr>
                <w:rFonts w:ascii="Garamond" w:eastAsia="Times New Roman" w:hAnsi="Garamond"/>
                <w:b w:val="0"/>
                <w:color w:val="000000"/>
                <w:sz w:val="20"/>
                <w:szCs w:val="20"/>
              </w:rPr>
              <w:t xml:space="preserve">    </w:t>
            </w:r>
            <w:r w:rsidR="00994B8F" w:rsidRPr="00A24AA3">
              <w:rPr>
                <w:rFonts w:ascii="Garamond" w:eastAsia="Times New Roman" w:hAnsi="Garamond"/>
                <w:b w:val="0"/>
                <w:color w:val="000000"/>
                <w:sz w:val="20"/>
                <w:szCs w:val="20"/>
              </w:rPr>
              <w:t>Medical Security Program</w:t>
            </w:r>
            <w:r w:rsidR="007220A9">
              <w:rPr>
                <w:rFonts w:ascii="Garamond" w:eastAsia="Times New Roman" w:hAnsi="Garamond"/>
                <w:b w:val="0"/>
                <w:color w:val="000000"/>
                <w:sz w:val="20"/>
                <w:szCs w:val="20"/>
                <w:vertAlign w:val="superscript"/>
              </w:rPr>
              <w:t>**</w:t>
            </w:r>
          </w:p>
        </w:tc>
        <w:tc>
          <w:tcPr>
            <w:tcW w:w="5760" w:type="dxa"/>
            <w:hideMark/>
          </w:tcPr>
          <w:p w14:paraId="74D89350" w14:textId="77777777" w:rsidR="00994B8F" w:rsidRPr="00A24AA3" w:rsidRDefault="0077009C" w:rsidP="00D16926">
            <w:pPr>
              <w:spacing w:after="0" w:line="240" w:lineRule="auto"/>
              <w:cnfStyle w:val="000000010000" w:firstRow="0" w:lastRow="0" w:firstColumn="0" w:lastColumn="0" w:oddVBand="0" w:evenVBand="0" w:oddHBand="0" w:evenHBand="1"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Reported by commercial payers to CHIA</w:t>
            </w:r>
            <w:r w:rsidR="00994B8F" w:rsidRPr="00A24AA3">
              <w:rPr>
                <w:rFonts w:ascii="Garamond" w:eastAsia="Times New Roman" w:hAnsi="Garamond"/>
                <w:color w:val="000000"/>
                <w:sz w:val="20"/>
                <w:szCs w:val="20"/>
              </w:rPr>
              <w:t xml:space="preserve"> </w:t>
            </w:r>
          </w:p>
        </w:tc>
      </w:tr>
      <w:tr w:rsidR="00994B8F" w:rsidRPr="00D73639" w14:paraId="4B60BE23" w14:textId="77777777" w:rsidTr="002D1F99">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410" w:type="dxa"/>
            <w:noWrap/>
            <w:hideMark/>
          </w:tcPr>
          <w:p w14:paraId="74ECFD3F" w14:textId="77777777" w:rsidR="00994B8F" w:rsidRPr="00A24AA3" w:rsidRDefault="002D1F99" w:rsidP="002D1F99">
            <w:pPr>
              <w:spacing w:after="0" w:line="240" w:lineRule="auto"/>
              <w:rPr>
                <w:rFonts w:ascii="Garamond" w:eastAsia="Times New Roman" w:hAnsi="Garamond"/>
                <w:b w:val="0"/>
                <w:color w:val="000000"/>
                <w:sz w:val="20"/>
                <w:szCs w:val="20"/>
              </w:rPr>
            </w:pPr>
            <w:r w:rsidRPr="00A24AA3">
              <w:rPr>
                <w:rFonts w:ascii="Garamond" w:eastAsia="Times New Roman" w:hAnsi="Garamond"/>
                <w:b w:val="0"/>
                <w:color w:val="000000"/>
                <w:sz w:val="20"/>
                <w:szCs w:val="20"/>
              </w:rPr>
              <w:t xml:space="preserve">    </w:t>
            </w:r>
            <w:r w:rsidR="00994B8F" w:rsidRPr="00A24AA3">
              <w:rPr>
                <w:rFonts w:ascii="Garamond" w:eastAsia="Times New Roman" w:hAnsi="Garamond"/>
                <w:b w:val="0"/>
                <w:color w:val="000000"/>
                <w:sz w:val="20"/>
                <w:szCs w:val="20"/>
              </w:rPr>
              <w:t>Veteran Affairs</w:t>
            </w:r>
          </w:p>
        </w:tc>
        <w:tc>
          <w:tcPr>
            <w:tcW w:w="5760" w:type="dxa"/>
            <w:hideMark/>
          </w:tcPr>
          <w:p w14:paraId="42BC42F0" w14:textId="77777777" w:rsidR="00457149" w:rsidRPr="00A24AA3" w:rsidRDefault="00994B8F" w:rsidP="00014F68">
            <w:pPr>
              <w:spacing w:after="120" w:line="240" w:lineRule="auto"/>
              <w:cnfStyle w:val="000000100000" w:firstRow="0" w:lastRow="0" w:firstColumn="0" w:lastColumn="0" w:oddVBand="0" w:evenVBand="0" w:oddHBand="1" w:evenHBand="0"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 xml:space="preserve">National Center for Veteran Analysis and Statistics </w:t>
            </w:r>
            <w:r w:rsidR="005C4ADF" w:rsidRPr="00A24AA3">
              <w:rPr>
                <w:rFonts w:ascii="Garamond" w:eastAsia="Times New Roman" w:hAnsi="Garamond"/>
                <w:color w:val="000000"/>
                <w:sz w:val="20"/>
                <w:szCs w:val="20"/>
              </w:rPr>
              <w:t>(FYs 2012 and 2013)</w:t>
            </w:r>
          </w:p>
        </w:tc>
      </w:tr>
      <w:tr w:rsidR="00994B8F" w:rsidRPr="00D73639" w14:paraId="612DC7DC" w14:textId="77777777" w:rsidTr="002D1F99">
        <w:trPr>
          <w:cnfStyle w:val="000000010000" w:firstRow="0" w:lastRow="0" w:firstColumn="0" w:lastColumn="0" w:oddVBand="0" w:evenVBand="0" w:oddHBand="0" w:evenHBand="1"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4410" w:type="dxa"/>
            <w:noWrap/>
            <w:hideMark/>
          </w:tcPr>
          <w:p w14:paraId="596B3375" w14:textId="77777777" w:rsidR="00994B8F" w:rsidRPr="00A24AA3" w:rsidRDefault="00994B8F" w:rsidP="00D16926">
            <w:pPr>
              <w:spacing w:after="0" w:line="240" w:lineRule="auto"/>
              <w:rPr>
                <w:rFonts w:ascii="Garamond" w:eastAsia="Times New Roman" w:hAnsi="Garamond"/>
                <w:iCs/>
                <w:color w:val="000000"/>
                <w:sz w:val="20"/>
                <w:szCs w:val="20"/>
                <w:u w:val="single"/>
              </w:rPr>
            </w:pPr>
            <w:r w:rsidRPr="00A24AA3">
              <w:rPr>
                <w:rFonts w:ascii="Garamond" w:eastAsia="Times New Roman" w:hAnsi="Garamond"/>
                <w:iCs/>
                <w:color w:val="000000"/>
                <w:sz w:val="20"/>
                <w:szCs w:val="20"/>
                <w:u w:val="single"/>
              </w:rPr>
              <w:t xml:space="preserve">Net Cost of Private Health Insurance </w:t>
            </w:r>
          </w:p>
        </w:tc>
        <w:tc>
          <w:tcPr>
            <w:tcW w:w="5760" w:type="dxa"/>
            <w:hideMark/>
          </w:tcPr>
          <w:p w14:paraId="00A1FB2E" w14:textId="77777777" w:rsidR="00994B8F" w:rsidRPr="00A24AA3" w:rsidRDefault="00994B8F" w:rsidP="0077009C">
            <w:pPr>
              <w:spacing w:after="0" w:line="240" w:lineRule="auto"/>
              <w:cnfStyle w:val="000000010000" w:firstRow="0" w:lastRow="0" w:firstColumn="0" w:lastColumn="0" w:oddVBand="0" w:evenVBand="0" w:oddHBand="0" w:evenHBand="1"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 xml:space="preserve">Calculated </w:t>
            </w:r>
            <w:proofErr w:type="gramStart"/>
            <w:r w:rsidRPr="00A24AA3">
              <w:rPr>
                <w:rFonts w:ascii="Garamond" w:eastAsia="Times New Roman" w:hAnsi="Garamond"/>
                <w:color w:val="000000"/>
                <w:sz w:val="20"/>
                <w:szCs w:val="20"/>
              </w:rPr>
              <w:t xml:space="preserve">from  </w:t>
            </w:r>
            <w:r w:rsidR="0077009C" w:rsidRPr="00A24AA3">
              <w:rPr>
                <w:rFonts w:ascii="Garamond" w:eastAsia="Times New Roman" w:hAnsi="Garamond"/>
                <w:color w:val="000000"/>
                <w:sz w:val="20"/>
                <w:szCs w:val="20"/>
              </w:rPr>
              <w:t>the</w:t>
            </w:r>
            <w:proofErr w:type="gramEnd"/>
            <w:r w:rsidR="0077009C" w:rsidRPr="00A24AA3">
              <w:rPr>
                <w:rFonts w:ascii="Garamond" w:eastAsia="Times New Roman" w:hAnsi="Garamond"/>
                <w:color w:val="000000"/>
                <w:sz w:val="20"/>
                <w:szCs w:val="20"/>
              </w:rPr>
              <w:t xml:space="preserve"> Medical Loss Ratio Reports from the </w:t>
            </w:r>
            <w:r w:rsidR="00E8687A" w:rsidRPr="00A24AA3">
              <w:rPr>
                <w:rFonts w:ascii="Garamond" w:eastAsia="Times New Roman" w:hAnsi="Garamond"/>
                <w:color w:val="000000"/>
                <w:sz w:val="20"/>
                <w:szCs w:val="20"/>
              </w:rPr>
              <w:t xml:space="preserve">Massachusetts </w:t>
            </w:r>
            <w:r w:rsidR="002D1F99" w:rsidRPr="00A24AA3">
              <w:rPr>
                <w:rFonts w:ascii="Garamond" w:eastAsia="Times New Roman" w:hAnsi="Garamond"/>
                <w:color w:val="000000"/>
                <w:sz w:val="20"/>
                <w:szCs w:val="20"/>
              </w:rPr>
              <w:t>Division of Insurance</w:t>
            </w:r>
            <w:r w:rsidR="0077009C" w:rsidRPr="00A24AA3">
              <w:rPr>
                <w:rFonts w:ascii="Garamond" w:eastAsia="Times New Roman" w:hAnsi="Garamond"/>
                <w:color w:val="000000"/>
                <w:sz w:val="20"/>
                <w:szCs w:val="20"/>
              </w:rPr>
              <w:t xml:space="preserve"> (DOI)</w:t>
            </w:r>
            <w:r w:rsidR="00E8687A" w:rsidRPr="00A24AA3">
              <w:rPr>
                <w:rFonts w:ascii="Garamond" w:eastAsia="Times New Roman" w:hAnsi="Garamond"/>
                <w:color w:val="000000"/>
                <w:sz w:val="20"/>
                <w:szCs w:val="20"/>
              </w:rPr>
              <w:t xml:space="preserve">, </w:t>
            </w:r>
            <w:r w:rsidR="0077009C" w:rsidRPr="00A24AA3">
              <w:rPr>
                <w:rFonts w:ascii="Garamond" w:eastAsia="Times New Roman" w:hAnsi="Garamond"/>
                <w:color w:val="000000"/>
                <w:sz w:val="20"/>
                <w:szCs w:val="20"/>
              </w:rPr>
              <w:t xml:space="preserve">the </w:t>
            </w:r>
            <w:r w:rsidR="00824AD9" w:rsidRPr="00A24AA3">
              <w:rPr>
                <w:rFonts w:ascii="Garamond" w:hAnsi="Garamond"/>
                <w:color w:val="000000"/>
                <w:sz w:val="20"/>
                <w:szCs w:val="20"/>
              </w:rPr>
              <w:t>Annual Statutory Financial Statement</w:t>
            </w:r>
            <w:r w:rsidR="0077009C" w:rsidRPr="00A24AA3">
              <w:rPr>
                <w:rFonts w:ascii="Garamond" w:hAnsi="Garamond"/>
                <w:color w:val="000000"/>
                <w:sz w:val="20"/>
                <w:szCs w:val="20"/>
              </w:rPr>
              <w:t xml:space="preserve"> from the National Association of Insurance Commissioners (NAIC), and the Medical Loss Ratio Reports from the Center for Consumer Information and Insurance Oversight (CCIIO)</w:t>
            </w:r>
          </w:p>
        </w:tc>
      </w:tr>
      <w:tr w:rsidR="00994B8F" w:rsidRPr="00D73639" w14:paraId="0BA63D94" w14:textId="77777777" w:rsidTr="002D1F99">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410" w:type="dxa"/>
            <w:noWrap/>
            <w:hideMark/>
          </w:tcPr>
          <w:p w14:paraId="34592CF3" w14:textId="77777777" w:rsidR="00994B8F" w:rsidRPr="00A24AA3" w:rsidRDefault="00994B8F" w:rsidP="00D16926">
            <w:pPr>
              <w:spacing w:after="0" w:line="240" w:lineRule="auto"/>
              <w:rPr>
                <w:rFonts w:ascii="Garamond" w:eastAsia="Times New Roman" w:hAnsi="Garamond"/>
                <w:iCs/>
                <w:color w:val="000000"/>
                <w:sz w:val="20"/>
                <w:szCs w:val="20"/>
                <w:u w:val="single"/>
              </w:rPr>
            </w:pPr>
            <w:r w:rsidRPr="00A24AA3">
              <w:rPr>
                <w:rFonts w:ascii="Garamond" w:eastAsia="Times New Roman" w:hAnsi="Garamond"/>
                <w:iCs/>
                <w:color w:val="000000"/>
                <w:sz w:val="20"/>
                <w:szCs w:val="20"/>
                <w:u w:val="single"/>
              </w:rPr>
              <w:t>Massachusetts population</w:t>
            </w:r>
          </w:p>
        </w:tc>
        <w:tc>
          <w:tcPr>
            <w:tcW w:w="5760" w:type="dxa"/>
            <w:noWrap/>
            <w:hideMark/>
          </w:tcPr>
          <w:p w14:paraId="5C1E260A" w14:textId="77777777" w:rsidR="00994B8F" w:rsidRPr="00A24AA3" w:rsidRDefault="00E8687A" w:rsidP="00D16926">
            <w:pPr>
              <w:spacing w:after="0" w:line="240" w:lineRule="auto"/>
              <w:cnfStyle w:val="000000100000" w:firstRow="0" w:lastRow="0" w:firstColumn="0" w:lastColumn="0" w:oddVBand="0" w:evenVBand="0" w:oddHBand="1" w:evenHBand="0"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 xml:space="preserve">U.S. </w:t>
            </w:r>
            <w:r w:rsidR="00994B8F" w:rsidRPr="00A24AA3">
              <w:rPr>
                <w:rFonts w:ascii="Garamond" w:eastAsia="Times New Roman" w:hAnsi="Garamond"/>
                <w:color w:val="000000"/>
                <w:sz w:val="20"/>
                <w:szCs w:val="20"/>
              </w:rPr>
              <w:t>Census Bureau</w:t>
            </w:r>
          </w:p>
        </w:tc>
      </w:tr>
    </w:tbl>
    <w:p w14:paraId="0395187B" w14:textId="77777777" w:rsidR="0010389C" w:rsidRDefault="0010389C" w:rsidP="0010389C">
      <w:pPr>
        <w:spacing w:after="0"/>
        <w:rPr>
          <w:rFonts w:ascii="Garamond" w:hAnsi="Garamond"/>
          <w:sz w:val="20"/>
        </w:rPr>
      </w:pPr>
      <w:r>
        <w:rPr>
          <w:rFonts w:ascii="Garamond" w:hAnsi="Garamond"/>
          <w:sz w:val="20"/>
        </w:rPr>
        <w:t>Notes:</w:t>
      </w:r>
    </w:p>
    <w:p w14:paraId="09D8E5A1" w14:textId="77777777" w:rsidR="0010389C" w:rsidRDefault="007220A9" w:rsidP="0010389C">
      <w:pPr>
        <w:spacing w:after="0"/>
        <w:rPr>
          <w:rFonts w:ascii="Garamond" w:hAnsi="Garamond"/>
          <w:sz w:val="20"/>
        </w:rPr>
      </w:pPr>
      <w:r>
        <w:rPr>
          <w:rFonts w:ascii="Garamond" w:hAnsi="Garamond"/>
          <w:sz w:val="20"/>
        </w:rPr>
        <w:t xml:space="preserve">* </w:t>
      </w:r>
      <w:r w:rsidR="0010389C" w:rsidRPr="0010389C">
        <w:rPr>
          <w:rFonts w:ascii="Garamond" w:hAnsi="Garamond"/>
          <w:sz w:val="20"/>
        </w:rPr>
        <w:t>CMS is the federal Centers for Medicare and Medicaid Services.</w:t>
      </w:r>
    </w:p>
    <w:p w14:paraId="60EDF4C7" w14:textId="77777777" w:rsidR="00994B8F" w:rsidRPr="007220A9" w:rsidRDefault="007220A9" w:rsidP="00DF7961">
      <w:pPr>
        <w:rPr>
          <w:rFonts w:ascii="Garamond" w:hAnsi="Garamond"/>
          <w:sz w:val="20"/>
          <w:szCs w:val="20"/>
        </w:rPr>
      </w:pPr>
      <w:r>
        <w:rPr>
          <w:rFonts w:ascii="Garamond" w:hAnsi="Garamond"/>
          <w:sz w:val="20"/>
          <w:szCs w:val="20"/>
        </w:rPr>
        <w:t>**</w:t>
      </w:r>
      <w:r w:rsidRPr="007220A9">
        <w:rPr>
          <w:rFonts w:ascii="Garamond" w:hAnsi="Garamond"/>
          <w:sz w:val="20"/>
          <w:szCs w:val="20"/>
        </w:rPr>
        <w:t xml:space="preserve"> </w:t>
      </w:r>
      <w:r w:rsidR="0077009C" w:rsidRPr="007220A9">
        <w:rPr>
          <w:rFonts w:ascii="Garamond" w:hAnsi="Garamond"/>
          <w:sz w:val="20"/>
          <w:szCs w:val="20"/>
        </w:rPr>
        <w:t xml:space="preserve">In CHIA’s THCE Methodology Paper, the data source for the MSP was from the Department of Unemployment Assistance. In this report, the MSP data was sourced from the payers </w:t>
      </w:r>
      <w:r w:rsidR="00317997" w:rsidRPr="007220A9">
        <w:rPr>
          <w:rFonts w:ascii="Garamond" w:hAnsi="Garamond"/>
          <w:sz w:val="20"/>
          <w:szCs w:val="20"/>
        </w:rPr>
        <w:t>who managed the MSP as part of their annual TME data submissions.</w:t>
      </w:r>
    </w:p>
    <w:p w14:paraId="23D46557" w14:textId="77777777" w:rsidR="0010389C" w:rsidRDefault="0010389C" w:rsidP="00DF7961">
      <w:pPr>
        <w:rPr>
          <w:rFonts w:ascii="Garamond" w:hAnsi="Garamond"/>
          <w:sz w:val="20"/>
        </w:rPr>
      </w:pPr>
    </w:p>
    <w:p w14:paraId="2640756D" w14:textId="77777777" w:rsidR="005C4ADF" w:rsidRPr="00D73639" w:rsidRDefault="00F07FE1" w:rsidP="00DF7961">
      <w:pPr>
        <w:rPr>
          <w:rFonts w:ascii="Garamond" w:hAnsi="Garamond"/>
          <w:b/>
          <w:u w:val="single"/>
        </w:rPr>
      </w:pPr>
      <w:r w:rsidRPr="00D73639">
        <w:rPr>
          <w:rFonts w:ascii="Garamond" w:hAnsi="Garamond"/>
          <w:b/>
          <w:u w:val="single"/>
        </w:rPr>
        <w:t>Methods:</w:t>
      </w:r>
    </w:p>
    <w:p w14:paraId="11E5A0A1" w14:textId="77777777" w:rsidR="00DB6E53" w:rsidRPr="00D73639" w:rsidRDefault="00BF13CF" w:rsidP="00DB6E53">
      <w:pPr>
        <w:rPr>
          <w:rFonts w:ascii="Garamond" w:hAnsi="Garamond"/>
        </w:rPr>
      </w:pPr>
      <w:r w:rsidRPr="00D73639">
        <w:rPr>
          <w:rFonts w:ascii="Garamond" w:hAnsi="Garamond" w:cs="Calibri"/>
        </w:rPr>
        <w:t>CHIA</w:t>
      </w:r>
      <w:r w:rsidR="00457149" w:rsidRPr="00D73639">
        <w:rPr>
          <w:rFonts w:ascii="Garamond" w:hAnsi="Garamond" w:cs="Calibri"/>
        </w:rPr>
        <w:t xml:space="preserve"> is required to </w:t>
      </w:r>
      <w:r w:rsidR="00941DE0" w:rsidRPr="00D73639">
        <w:rPr>
          <w:rFonts w:ascii="Garamond" w:hAnsi="Garamond" w:cs="Calibri"/>
        </w:rPr>
        <w:t xml:space="preserve">report on THCE </w:t>
      </w:r>
      <w:r w:rsidR="00B83279" w:rsidRPr="00D73639">
        <w:rPr>
          <w:rFonts w:ascii="Garamond" w:hAnsi="Garamond" w:cs="Calibri"/>
        </w:rPr>
        <w:t>annually</w:t>
      </w:r>
      <w:r w:rsidR="00941DE0" w:rsidRPr="00D73639">
        <w:rPr>
          <w:rFonts w:ascii="Garamond" w:hAnsi="Garamond" w:cs="Calibri"/>
        </w:rPr>
        <w:t xml:space="preserve"> to monitor the rate of growth and measure the Commonwealth’s progress toward meeting its health care cost growth benchmark</w:t>
      </w:r>
      <w:r w:rsidR="00B56CE3" w:rsidRPr="00D73639">
        <w:rPr>
          <w:rFonts w:ascii="Garamond" w:hAnsi="Garamond" w:cs="Calibri"/>
        </w:rPr>
        <w:t xml:space="preserve"> by September 1</w:t>
      </w:r>
      <w:r w:rsidR="00B56CE3" w:rsidRPr="00D73639">
        <w:rPr>
          <w:rFonts w:ascii="Garamond" w:hAnsi="Garamond" w:cs="Calibri"/>
          <w:vertAlign w:val="superscript"/>
        </w:rPr>
        <w:t>st</w:t>
      </w:r>
      <w:r w:rsidR="00B56CE3" w:rsidRPr="00D73639">
        <w:rPr>
          <w:rFonts w:ascii="Garamond" w:hAnsi="Garamond" w:cs="Calibri"/>
        </w:rPr>
        <w:t xml:space="preserve"> of each year</w:t>
      </w:r>
      <w:r w:rsidR="00941DE0" w:rsidRPr="00D73639">
        <w:rPr>
          <w:rFonts w:ascii="Garamond" w:hAnsi="Garamond" w:cs="Calibri"/>
        </w:rPr>
        <w:t xml:space="preserve">. </w:t>
      </w:r>
      <w:r w:rsidR="00B56CE3" w:rsidRPr="00D73639">
        <w:rPr>
          <w:rFonts w:ascii="Garamond" w:hAnsi="Garamond" w:cs="Calibri"/>
        </w:rPr>
        <w:t xml:space="preserve">This </w:t>
      </w:r>
      <w:proofErr w:type="gramStart"/>
      <w:r w:rsidR="00B56CE3" w:rsidRPr="00D73639">
        <w:rPr>
          <w:rFonts w:ascii="Garamond" w:hAnsi="Garamond" w:cs="Calibri"/>
        </w:rPr>
        <w:t>statutor</w:t>
      </w:r>
      <w:r w:rsidR="00B40AD8" w:rsidRPr="00D73639">
        <w:rPr>
          <w:rFonts w:ascii="Garamond" w:hAnsi="Garamond" w:cs="Calibri"/>
        </w:rPr>
        <w:t>ily-</w:t>
      </w:r>
      <w:r w:rsidR="00B56CE3" w:rsidRPr="00D73639">
        <w:rPr>
          <w:rFonts w:ascii="Garamond" w:hAnsi="Garamond" w:cs="Calibri"/>
        </w:rPr>
        <w:t>mandated</w:t>
      </w:r>
      <w:proofErr w:type="gramEnd"/>
      <w:r w:rsidR="00B56CE3" w:rsidRPr="00D73639">
        <w:rPr>
          <w:rFonts w:ascii="Garamond" w:hAnsi="Garamond" w:cs="Calibri"/>
        </w:rPr>
        <w:t xml:space="preserve"> timeline impacts the model design and approach, as claim payment amounts are </w:t>
      </w:r>
      <w:r w:rsidR="00B40AD8" w:rsidRPr="00D73639">
        <w:rPr>
          <w:rFonts w:ascii="Garamond" w:hAnsi="Garamond" w:cs="Calibri"/>
        </w:rPr>
        <w:t xml:space="preserve">often </w:t>
      </w:r>
      <w:r w:rsidR="00B56CE3" w:rsidRPr="00D73639">
        <w:rPr>
          <w:rFonts w:ascii="Garamond" w:hAnsi="Garamond" w:cs="Calibri"/>
        </w:rPr>
        <w:t>not finalized until several months after the close of the calendar year.  As such, the THCE timeline does not provide enough time for full claims run-out, provider quality and cost performance evaluation, and financial settlements</w:t>
      </w:r>
      <w:r w:rsidR="00B83279" w:rsidRPr="00D73639">
        <w:rPr>
          <w:rFonts w:ascii="Garamond" w:hAnsi="Garamond" w:cs="Calibri"/>
        </w:rPr>
        <w:t xml:space="preserve"> for the performance year</w:t>
      </w:r>
      <w:r w:rsidR="00B56CE3" w:rsidRPr="00D73639">
        <w:rPr>
          <w:rFonts w:ascii="Garamond" w:hAnsi="Garamond" w:cs="Calibri"/>
        </w:rPr>
        <w:t xml:space="preserve">. Thus, in order to report on THCE within the timeline required, estimates of claims run-out and provider </w:t>
      </w:r>
      <w:r w:rsidR="00B56CE3" w:rsidRPr="00D73639">
        <w:rPr>
          <w:rFonts w:ascii="Garamond" w:hAnsi="Garamond" w:cs="Calibri"/>
        </w:rPr>
        <w:lastRenderedPageBreak/>
        <w:t xml:space="preserve">settlements </w:t>
      </w:r>
      <w:r w:rsidR="00DB6E53" w:rsidRPr="00D73639">
        <w:rPr>
          <w:rFonts w:ascii="Garamond" w:hAnsi="Garamond" w:cs="Calibri"/>
        </w:rPr>
        <w:t>were</w:t>
      </w:r>
      <w:r w:rsidR="00B56CE3" w:rsidRPr="00D73639">
        <w:rPr>
          <w:rFonts w:ascii="Garamond" w:hAnsi="Garamond" w:cs="Calibri"/>
        </w:rPr>
        <w:t xml:space="preserve"> incorporated in</w:t>
      </w:r>
      <w:r w:rsidR="00AE4858">
        <w:rPr>
          <w:rFonts w:ascii="Garamond" w:hAnsi="Garamond" w:cs="Calibri"/>
        </w:rPr>
        <w:t>to</w:t>
      </w:r>
      <w:r w:rsidR="00B56CE3" w:rsidRPr="00D73639">
        <w:rPr>
          <w:rFonts w:ascii="Garamond" w:hAnsi="Garamond" w:cs="Calibri"/>
        </w:rPr>
        <w:t xml:space="preserve"> the calculation of THCE.  In recognition of this use of estimated data, th</w:t>
      </w:r>
      <w:r w:rsidR="00DB6E53" w:rsidRPr="00D73639">
        <w:rPr>
          <w:rFonts w:ascii="Garamond" w:hAnsi="Garamond" w:cs="Calibri"/>
        </w:rPr>
        <w:t xml:space="preserve">is report </w:t>
      </w:r>
      <w:r w:rsidR="00AE4858" w:rsidRPr="00D73639">
        <w:rPr>
          <w:rFonts w:ascii="Garamond" w:hAnsi="Garamond" w:cs="Calibri"/>
        </w:rPr>
        <w:t>include</w:t>
      </w:r>
      <w:r w:rsidR="00AE4858">
        <w:rPr>
          <w:rFonts w:ascii="Garamond" w:hAnsi="Garamond" w:cs="Calibri"/>
        </w:rPr>
        <w:t>s</w:t>
      </w:r>
      <w:r w:rsidR="00AE4858" w:rsidRPr="00D73639">
        <w:rPr>
          <w:rFonts w:ascii="Garamond" w:hAnsi="Garamond" w:cs="Calibri"/>
        </w:rPr>
        <w:t xml:space="preserve"> </w:t>
      </w:r>
      <w:r w:rsidR="00DB6E53" w:rsidRPr="00D73639">
        <w:rPr>
          <w:rFonts w:ascii="Garamond" w:hAnsi="Garamond" w:cs="Calibri"/>
        </w:rPr>
        <w:t xml:space="preserve">an initial assessment for the performance year.  </w:t>
      </w:r>
      <w:r w:rsidR="006D37AF" w:rsidRPr="00D73639">
        <w:rPr>
          <w:rFonts w:ascii="Garamond" w:hAnsi="Garamond" w:cs="Calibri"/>
        </w:rPr>
        <w:t>A</w:t>
      </w:r>
      <w:r w:rsidR="00DB6E53" w:rsidRPr="00D73639">
        <w:rPr>
          <w:rFonts w:ascii="Garamond" w:hAnsi="Garamond" w:cs="Calibri"/>
        </w:rPr>
        <w:t xml:space="preserve"> final assessment for </w:t>
      </w:r>
      <w:r w:rsidR="00D96B0B" w:rsidRPr="00D73639">
        <w:rPr>
          <w:rFonts w:ascii="Garamond" w:hAnsi="Garamond" w:cs="Calibri"/>
        </w:rPr>
        <w:t xml:space="preserve">THCE growth between </w:t>
      </w:r>
      <w:r w:rsidR="00DB6E53" w:rsidRPr="00D73639">
        <w:rPr>
          <w:rFonts w:ascii="Garamond" w:hAnsi="Garamond" w:cs="Calibri"/>
        </w:rPr>
        <w:t>CYs 2012 and 2013 will be released 12 months after the initial assessment and will be a refined version of the model, incorporating up to 16 months of claims run-out and settlements. The final assessment will contain the same elements as the initial assessment, but will serve to update the findings.</w:t>
      </w:r>
    </w:p>
    <w:p w14:paraId="315005A6" w14:textId="77777777" w:rsidR="00B56CE3" w:rsidRPr="00D73639" w:rsidRDefault="00B56CE3" w:rsidP="00B56CE3">
      <w:pPr>
        <w:rPr>
          <w:rFonts w:ascii="Garamond" w:hAnsi="Garamond" w:cs="Calibri"/>
        </w:rPr>
      </w:pPr>
      <w:r w:rsidRPr="00D73639">
        <w:rPr>
          <w:rFonts w:ascii="Garamond" w:hAnsi="Garamond" w:cs="Calibri"/>
        </w:rPr>
        <w:t xml:space="preserve">The initial assessment </w:t>
      </w:r>
      <w:r w:rsidR="001B11B3" w:rsidRPr="00D73639">
        <w:rPr>
          <w:rFonts w:ascii="Garamond" w:hAnsi="Garamond" w:cs="Calibri"/>
        </w:rPr>
        <w:t xml:space="preserve">for CYs 2012 and 2013 </w:t>
      </w:r>
      <w:r w:rsidR="00583973" w:rsidRPr="00D73639">
        <w:rPr>
          <w:rFonts w:ascii="Garamond" w:hAnsi="Garamond" w:cs="Calibri"/>
        </w:rPr>
        <w:t>presented in this report was</w:t>
      </w:r>
      <w:r w:rsidRPr="00D73639">
        <w:rPr>
          <w:rFonts w:ascii="Garamond" w:hAnsi="Garamond" w:cs="Calibri"/>
        </w:rPr>
        <w:t xml:space="preserve"> comprised of TME-sourced aggregate data </w:t>
      </w:r>
      <w:r w:rsidR="00583973" w:rsidRPr="00D73639">
        <w:rPr>
          <w:rFonts w:ascii="Garamond" w:hAnsi="Garamond" w:cs="Calibri"/>
        </w:rPr>
        <w:t xml:space="preserve">from commercial payers </w:t>
      </w:r>
      <w:r w:rsidRPr="00D73639">
        <w:rPr>
          <w:rFonts w:ascii="Garamond" w:hAnsi="Garamond" w:cs="Calibri"/>
        </w:rPr>
        <w:t xml:space="preserve">with up to four months of claims run-out, </w:t>
      </w:r>
      <w:proofErr w:type="spellStart"/>
      <w:r w:rsidRPr="00D73639">
        <w:rPr>
          <w:rFonts w:ascii="Garamond" w:hAnsi="Garamond" w:cs="Calibri"/>
        </w:rPr>
        <w:t>MassHealth</w:t>
      </w:r>
      <w:proofErr w:type="spellEnd"/>
      <w:r w:rsidRPr="00D73639">
        <w:rPr>
          <w:rFonts w:ascii="Garamond" w:hAnsi="Garamond" w:cs="Calibri"/>
        </w:rPr>
        <w:t xml:space="preserve"> data, CMS-sourced Medicare data, and supplemented by claims completion and settlement estimates obtained directly from the payers.</w:t>
      </w:r>
    </w:p>
    <w:p w14:paraId="65F57DE1" w14:textId="77777777" w:rsidR="00DF7961" w:rsidRPr="00D73639" w:rsidRDefault="00743A2E" w:rsidP="00DF7961">
      <w:pPr>
        <w:rPr>
          <w:rFonts w:ascii="Garamond" w:hAnsi="Garamond" w:cs="Calibri"/>
          <w:bCs/>
          <w:u w:val="single"/>
        </w:rPr>
      </w:pPr>
      <w:bookmarkStart w:id="0" w:name="_Toc373840084"/>
      <w:bookmarkStart w:id="1" w:name="_Toc374477813"/>
      <w:proofErr w:type="gramStart"/>
      <w:r w:rsidRPr="00D73639">
        <w:rPr>
          <w:rFonts w:ascii="Garamond" w:hAnsi="Garamond" w:cs="Calibri"/>
          <w:bCs/>
          <w:u w:val="single"/>
        </w:rPr>
        <w:t>Commercially</w:t>
      </w:r>
      <w:r>
        <w:rPr>
          <w:rFonts w:ascii="Garamond" w:hAnsi="Garamond" w:cs="Calibri"/>
          <w:bCs/>
          <w:u w:val="single"/>
        </w:rPr>
        <w:t>-</w:t>
      </w:r>
      <w:r w:rsidR="00DF7961" w:rsidRPr="00D73639">
        <w:rPr>
          <w:rFonts w:ascii="Garamond" w:hAnsi="Garamond" w:cs="Calibri"/>
          <w:bCs/>
          <w:u w:val="single"/>
        </w:rPr>
        <w:t>Insured</w:t>
      </w:r>
      <w:bookmarkEnd w:id="0"/>
      <w:bookmarkEnd w:id="1"/>
      <w:proofErr w:type="gramEnd"/>
      <w:r w:rsidR="00AE4858">
        <w:rPr>
          <w:rFonts w:ascii="Garamond" w:hAnsi="Garamond" w:cs="Calibri"/>
          <w:bCs/>
          <w:u w:val="single"/>
        </w:rPr>
        <w:t xml:space="preserve"> Expenditures</w:t>
      </w:r>
    </w:p>
    <w:p w14:paraId="15EB1302" w14:textId="77777777" w:rsidR="00DF7961" w:rsidRPr="00D73639" w:rsidRDefault="00DF7961" w:rsidP="00DF7961">
      <w:pPr>
        <w:rPr>
          <w:rFonts w:ascii="Garamond" w:hAnsi="Garamond" w:cs="Calibri"/>
        </w:rPr>
      </w:pPr>
      <w:r w:rsidRPr="00D73639">
        <w:rPr>
          <w:rFonts w:ascii="Garamond" w:hAnsi="Garamond" w:cs="Calibri"/>
        </w:rPr>
        <w:t xml:space="preserve">In accordance with the requirements of THCE, the model </w:t>
      </w:r>
      <w:r w:rsidR="00DB6E53" w:rsidRPr="00D73639">
        <w:rPr>
          <w:rFonts w:ascii="Garamond" w:hAnsi="Garamond" w:cs="Calibri"/>
        </w:rPr>
        <w:t>include</w:t>
      </w:r>
      <w:r w:rsidR="00AE4858">
        <w:rPr>
          <w:rFonts w:ascii="Garamond" w:hAnsi="Garamond" w:cs="Calibri"/>
        </w:rPr>
        <w:t>s</w:t>
      </w:r>
      <w:r w:rsidR="00DB6E53" w:rsidRPr="00D73639">
        <w:rPr>
          <w:rFonts w:ascii="Garamond" w:hAnsi="Garamond" w:cs="Calibri"/>
        </w:rPr>
        <w:t xml:space="preserve"> </w:t>
      </w:r>
      <w:r w:rsidRPr="00D73639">
        <w:rPr>
          <w:rFonts w:ascii="Garamond" w:hAnsi="Garamond" w:cs="Calibri"/>
        </w:rPr>
        <w:t xml:space="preserve">expenditures by commercial payers on behalf of </w:t>
      </w:r>
      <w:proofErr w:type="gramStart"/>
      <w:r w:rsidRPr="00D73639">
        <w:rPr>
          <w:rFonts w:ascii="Garamond" w:hAnsi="Garamond" w:cs="Calibri"/>
        </w:rPr>
        <w:t>Massachusetts</w:t>
      </w:r>
      <w:proofErr w:type="gramEnd"/>
      <w:r w:rsidRPr="00D73639">
        <w:rPr>
          <w:rFonts w:ascii="Garamond" w:hAnsi="Garamond" w:cs="Calibri"/>
        </w:rPr>
        <w:t xml:space="preserve"> residents, including both the fully-insured and self-insured populations. For th</w:t>
      </w:r>
      <w:r w:rsidR="007C35B4" w:rsidRPr="00D73639">
        <w:rPr>
          <w:rFonts w:ascii="Garamond" w:hAnsi="Garamond" w:cs="Calibri"/>
        </w:rPr>
        <w:t>is</w:t>
      </w:r>
      <w:r w:rsidRPr="00D73639">
        <w:rPr>
          <w:rFonts w:ascii="Garamond" w:hAnsi="Garamond" w:cs="Calibri"/>
        </w:rPr>
        <w:t xml:space="preserve"> initial assessment, the primary data source </w:t>
      </w:r>
      <w:r w:rsidR="007C35B4" w:rsidRPr="00D73639">
        <w:rPr>
          <w:rFonts w:ascii="Garamond" w:hAnsi="Garamond" w:cs="Calibri"/>
        </w:rPr>
        <w:t>was</w:t>
      </w:r>
      <w:r w:rsidRPr="00D73639">
        <w:rPr>
          <w:rFonts w:ascii="Garamond" w:hAnsi="Garamond" w:cs="Calibri"/>
        </w:rPr>
        <w:t xml:space="preserve"> TME-reported data, which </w:t>
      </w:r>
      <w:r w:rsidR="00DB6E53" w:rsidRPr="00D73639">
        <w:rPr>
          <w:rFonts w:ascii="Garamond" w:hAnsi="Garamond" w:cs="Calibri"/>
        </w:rPr>
        <w:t xml:space="preserve">was </w:t>
      </w:r>
      <w:r w:rsidRPr="00D73639">
        <w:rPr>
          <w:rFonts w:ascii="Garamond" w:hAnsi="Garamond" w:cs="Calibri"/>
        </w:rPr>
        <w:t xml:space="preserve">filed directly with </w:t>
      </w:r>
      <w:r w:rsidR="00BF13CF" w:rsidRPr="00D73639">
        <w:rPr>
          <w:rFonts w:ascii="Garamond" w:hAnsi="Garamond" w:cs="Calibri"/>
        </w:rPr>
        <w:t>CHIA</w:t>
      </w:r>
      <w:r w:rsidRPr="00D73639">
        <w:rPr>
          <w:rFonts w:ascii="Garamond" w:hAnsi="Garamond" w:cs="Calibri"/>
        </w:rPr>
        <w:t xml:space="preserve"> by the ten largest commercial payers in the Massachusetts market</w:t>
      </w:r>
      <w:r w:rsidR="00920E3D" w:rsidRPr="00D73639">
        <w:rPr>
          <w:rFonts w:ascii="Garamond" w:hAnsi="Garamond" w:cs="Calibri"/>
        </w:rPr>
        <w:t xml:space="preserve"> and the commercial payers offering </w:t>
      </w:r>
      <w:proofErr w:type="spellStart"/>
      <w:r w:rsidR="00920E3D" w:rsidRPr="00D73639">
        <w:rPr>
          <w:rFonts w:ascii="Garamond" w:hAnsi="Garamond" w:cs="Calibri"/>
        </w:rPr>
        <w:t>MassHealth</w:t>
      </w:r>
      <w:proofErr w:type="spellEnd"/>
      <w:r w:rsidR="00920E3D" w:rsidRPr="00D73639">
        <w:rPr>
          <w:rFonts w:ascii="Garamond" w:hAnsi="Garamond" w:cs="Calibri"/>
        </w:rPr>
        <w:t xml:space="preserve"> and Commonwealth Care MCO plans as well as Medicare Advantage plans</w:t>
      </w:r>
      <w:r w:rsidRPr="00D73639">
        <w:rPr>
          <w:rFonts w:ascii="Garamond" w:hAnsi="Garamond" w:cs="Calibri"/>
        </w:rPr>
        <w:t xml:space="preserve">. The TME data </w:t>
      </w:r>
      <w:r w:rsidR="002E7575" w:rsidRPr="00D73639">
        <w:rPr>
          <w:rFonts w:ascii="Garamond" w:hAnsi="Garamond" w:cs="Calibri"/>
        </w:rPr>
        <w:t>include</w:t>
      </w:r>
      <w:r w:rsidR="00AE4858">
        <w:rPr>
          <w:rFonts w:ascii="Garamond" w:hAnsi="Garamond" w:cs="Calibri"/>
        </w:rPr>
        <w:t>s</w:t>
      </w:r>
      <w:r w:rsidR="002E7575" w:rsidRPr="00D73639">
        <w:rPr>
          <w:rFonts w:ascii="Garamond" w:hAnsi="Garamond" w:cs="Calibri"/>
        </w:rPr>
        <w:t xml:space="preserve"> </w:t>
      </w:r>
      <w:r w:rsidRPr="00D73639">
        <w:rPr>
          <w:rFonts w:ascii="Garamond" w:hAnsi="Garamond" w:cs="Calibri"/>
        </w:rPr>
        <w:t>claims and non-claims payments. Payers submit</w:t>
      </w:r>
      <w:r w:rsidR="007C35B4" w:rsidRPr="00D73639">
        <w:rPr>
          <w:rFonts w:ascii="Garamond" w:hAnsi="Garamond" w:cs="Calibri"/>
        </w:rPr>
        <w:t>ted</w:t>
      </w:r>
      <w:r w:rsidRPr="00D73639">
        <w:rPr>
          <w:rFonts w:ascii="Garamond" w:hAnsi="Garamond" w:cs="Calibri"/>
        </w:rPr>
        <w:t xml:space="preserve"> this data based on “allowed amounts,” which include paid medical claims as well as patient </w:t>
      </w:r>
      <w:proofErr w:type="gramStart"/>
      <w:r w:rsidRPr="00D73639">
        <w:rPr>
          <w:rFonts w:ascii="Garamond" w:hAnsi="Garamond" w:cs="Calibri"/>
        </w:rPr>
        <w:t>cost-sharing</w:t>
      </w:r>
      <w:proofErr w:type="gramEnd"/>
      <w:r w:rsidRPr="00D73639">
        <w:rPr>
          <w:rFonts w:ascii="Garamond" w:hAnsi="Garamond" w:cs="Calibri"/>
        </w:rPr>
        <w:t>, such as copayments, coinsurance</w:t>
      </w:r>
      <w:r w:rsidR="00AE4858">
        <w:rPr>
          <w:rFonts w:ascii="Garamond" w:hAnsi="Garamond" w:cs="Calibri"/>
        </w:rPr>
        <w:t>,</w:t>
      </w:r>
      <w:r w:rsidRPr="00D73639">
        <w:rPr>
          <w:rFonts w:ascii="Garamond" w:hAnsi="Garamond" w:cs="Calibri"/>
        </w:rPr>
        <w:t xml:space="preserve"> and deductibles. As such, the TME data captures the health care expenditures of commercial payers and their members.  </w:t>
      </w:r>
    </w:p>
    <w:p w14:paraId="7644E746" w14:textId="77777777" w:rsidR="00DF7961" w:rsidRPr="00D73639" w:rsidRDefault="00DF7961" w:rsidP="00DF7961">
      <w:pPr>
        <w:rPr>
          <w:rFonts w:ascii="Garamond" w:hAnsi="Garamond" w:cs="Calibri"/>
        </w:rPr>
      </w:pPr>
      <w:r w:rsidRPr="00D73639">
        <w:rPr>
          <w:rFonts w:ascii="Garamond" w:hAnsi="Garamond" w:cs="Calibri"/>
        </w:rPr>
        <w:t>In some circumstances, payers are only able to report claim payments for limited medical services due to benefit design, where some services such as behavioral health or pharmacy services may be “carved out”</w:t>
      </w:r>
      <w:r w:rsidR="00AE4858">
        <w:rPr>
          <w:rFonts w:ascii="Garamond" w:hAnsi="Garamond" w:cs="Calibri"/>
        </w:rPr>
        <w:t>,</w:t>
      </w:r>
      <w:r w:rsidRPr="00D73639">
        <w:rPr>
          <w:rFonts w:ascii="Garamond" w:hAnsi="Garamond" w:cs="Calibri"/>
        </w:rPr>
        <w:t xml:space="preserve"> or provided separately from the other medical services. In these instances, payers are unable to obtain the payment information and do not hold the insurance risk for the carved-out services. Thus, payers report</w:t>
      </w:r>
      <w:r w:rsidR="007C35B4" w:rsidRPr="00D73639">
        <w:rPr>
          <w:rFonts w:ascii="Garamond" w:hAnsi="Garamond" w:cs="Calibri"/>
        </w:rPr>
        <w:t>ed</w:t>
      </w:r>
      <w:r w:rsidRPr="00D73639">
        <w:rPr>
          <w:rFonts w:ascii="Garamond" w:hAnsi="Garamond" w:cs="Calibri"/>
        </w:rPr>
        <w:t xml:space="preserve"> this type of TME data separately in the commercial partial-claim category.</w:t>
      </w:r>
      <w:r w:rsidRPr="00D73639">
        <w:rPr>
          <w:rFonts w:ascii="Garamond" w:hAnsi="Garamond" w:cs="Calibri"/>
          <w:vertAlign w:val="superscript"/>
        </w:rPr>
        <w:footnoteReference w:id="2"/>
      </w:r>
      <w:r w:rsidRPr="00D73639">
        <w:rPr>
          <w:rFonts w:ascii="Garamond" w:hAnsi="Garamond" w:cs="Calibri"/>
        </w:rPr>
        <w:t xml:space="preserve"> To estimate the full TME amount for the commercial partial-claim population, </w:t>
      </w:r>
      <w:r w:rsidR="00BF13CF" w:rsidRPr="00D73639">
        <w:rPr>
          <w:rFonts w:ascii="Garamond" w:hAnsi="Garamond" w:cs="Calibri"/>
        </w:rPr>
        <w:t>CHIA</w:t>
      </w:r>
      <w:r w:rsidRPr="00D73639">
        <w:rPr>
          <w:rFonts w:ascii="Garamond" w:hAnsi="Garamond" w:cs="Calibri"/>
        </w:rPr>
        <w:t xml:space="preserve"> </w:t>
      </w:r>
      <w:r w:rsidR="00B40AD8" w:rsidRPr="00D73639">
        <w:rPr>
          <w:rFonts w:ascii="Garamond" w:hAnsi="Garamond" w:cs="Calibri"/>
        </w:rPr>
        <w:t>made</w:t>
      </w:r>
      <w:r w:rsidRPr="00D73639">
        <w:rPr>
          <w:rFonts w:ascii="Garamond" w:hAnsi="Garamond" w:cs="Calibri"/>
        </w:rPr>
        <w:t xml:space="preserve"> actuarial adjustments based on the reported partial-claim TME data. These adjustments </w:t>
      </w:r>
      <w:r w:rsidR="007C35B4" w:rsidRPr="00D73639">
        <w:rPr>
          <w:rFonts w:ascii="Garamond" w:hAnsi="Garamond" w:cs="Calibri"/>
        </w:rPr>
        <w:t>were</w:t>
      </w:r>
      <w:r w:rsidRPr="00D73639">
        <w:rPr>
          <w:rFonts w:ascii="Garamond" w:hAnsi="Garamond" w:cs="Calibri"/>
        </w:rPr>
        <w:t xml:space="preserve"> made by first calculating partial-claim TME per member per month (PMPM) and the PMPM amount for each service category using each payer’s zip-code level TME data.</w:t>
      </w:r>
      <w:r w:rsidRPr="00D73639">
        <w:rPr>
          <w:rFonts w:ascii="Garamond" w:hAnsi="Garamond" w:cs="Calibri"/>
          <w:vertAlign w:val="superscript"/>
        </w:rPr>
        <w:footnoteReference w:id="3"/>
      </w:r>
      <w:r w:rsidRPr="00D73639">
        <w:rPr>
          <w:rFonts w:ascii="Garamond" w:hAnsi="Garamond" w:cs="Calibri"/>
        </w:rPr>
        <w:t xml:space="preserve"> Next, </w:t>
      </w:r>
      <w:r w:rsidR="00BF13CF" w:rsidRPr="00D73639">
        <w:rPr>
          <w:rFonts w:ascii="Garamond" w:hAnsi="Garamond" w:cs="Calibri"/>
        </w:rPr>
        <w:t>CHIA</w:t>
      </w:r>
      <w:r w:rsidRPr="00D73639">
        <w:rPr>
          <w:rFonts w:ascii="Garamond" w:hAnsi="Garamond" w:cs="Calibri"/>
        </w:rPr>
        <w:t xml:space="preserve"> </w:t>
      </w:r>
      <w:r w:rsidR="007E54AB" w:rsidRPr="00D73639">
        <w:rPr>
          <w:rFonts w:ascii="Garamond" w:hAnsi="Garamond" w:cs="Calibri"/>
        </w:rPr>
        <w:t>calculated</w:t>
      </w:r>
      <w:r w:rsidRPr="00D73639">
        <w:rPr>
          <w:rFonts w:ascii="Garamond" w:hAnsi="Garamond" w:cs="Calibri"/>
        </w:rPr>
        <w:t xml:space="preserve"> </w:t>
      </w:r>
      <w:r w:rsidR="00191486" w:rsidRPr="00D73639">
        <w:rPr>
          <w:rFonts w:ascii="Garamond" w:hAnsi="Garamond" w:cs="Calibri"/>
        </w:rPr>
        <w:t>health</w:t>
      </w:r>
      <w:r w:rsidR="0061712B">
        <w:rPr>
          <w:rFonts w:ascii="Garamond" w:hAnsi="Garamond" w:cs="Calibri"/>
        </w:rPr>
        <w:t>-</w:t>
      </w:r>
      <w:r w:rsidR="00191486" w:rsidRPr="00D73639">
        <w:rPr>
          <w:rFonts w:ascii="Garamond" w:hAnsi="Garamond" w:cs="Calibri"/>
        </w:rPr>
        <w:t>status adjusted (H.S.A.</w:t>
      </w:r>
      <w:r w:rsidR="00C50525" w:rsidRPr="00D73639">
        <w:rPr>
          <w:rFonts w:ascii="Garamond" w:hAnsi="Garamond" w:cs="Calibri"/>
        </w:rPr>
        <w:t>) TME</w:t>
      </w:r>
      <w:r w:rsidR="00191486" w:rsidRPr="00D73639">
        <w:rPr>
          <w:rFonts w:ascii="Garamond" w:hAnsi="Garamond" w:cs="Calibri"/>
        </w:rPr>
        <w:t xml:space="preserve"> and the PMPM amount by service category for the full-claim population</w:t>
      </w:r>
      <w:r w:rsidRPr="00D73639">
        <w:rPr>
          <w:rFonts w:ascii="Garamond" w:hAnsi="Garamond" w:cs="Calibri"/>
        </w:rPr>
        <w:t xml:space="preserve">, </w:t>
      </w:r>
      <w:r w:rsidR="00191486" w:rsidRPr="00D73639">
        <w:rPr>
          <w:rFonts w:ascii="Garamond" w:hAnsi="Garamond" w:cs="Calibri"/>
        </w:rPr>
        <w:t>using</w:t>
      </w:r>
      <w:r w:rsidRPr="00D73639">
        <w:rPr>
          <w:rFonts w:ascii="Garamond" w:hAnsi="Garamond" w:cs="Calibri"/>
        </w:rPr>
        <w:t xml:space="preserve"> the risk scores of the TME partial-claim population </w:t>
      </w:r>
      <w:r w:rsidR="00191486" w:rsidRPr="00D73639">
        <w:rPr>
          <w:rFonts w:ascii="Garamond" w:hAnsi="Garamond" w:cs="Calibri"/>
        </w:rPr>
        <w:t xml:space="preserve">of the </w:t>
      </w:r>
      <w:r w:rsidRPr="00D73639">
        <w:rPr>
          <w:rFonts w:ascii="Garamond" w:hAnsi="Garamond" w:cs="Calibri"/>
        </w:rPr>
        <w:t>payer. For service categories where the PMPM amount of the partial-claim population exceed</w:t>
      </w:r>
      <w:r w:rsidR="007E54AB" w:rsidRPr="00D73639">
        <w:rPr>
          <w:rFonts w:ascii="Garamond" w:hAnsi="Garamond" w:cs="Calibri"/>
        </w:rPr>
        <w:t>ed</w:t>
      </w:r>
      <w:r w:rsidRPr="00D73639">
        <w:rPr>
          <w:rFonts w:ascii="Garamond" w:hAnsi="Garamond" w:cs="Calibri"/>
        </w:rPr>
        <w:t xml:space="preserve"> that of the adjusted PMPM amount of the full-claim population, the reported amount </w:t>
      </w:r>
      <w:r w:rsidR="007E54AB" w:rsidRPr="00D73639">
        <w:rPr>
          <w:rFonts w:ascii="Garamond" w:hAnsi="Garamond" w:cs="Calibri"/>
        </w:rPr>
        <w:t>was</w:t>
      </w:r>
      <w:r w:rsidRPr="00D73639">
        <w:rPr>
          <w:rFonts w:ascii="Garamond" w:hAnsi="Garamond" w:cs="Calibri"/>
        </w:rPr>
        <w:t xml:space="preserve"> used. For the remaining service categories, the PMPM amount </w:t>
      </w:r>
      <w:r w:rsidR="007E54AB" w:rsidRPr="00D73639">
        <w:rPr>
          <w:rFonts w:ascii="Garamond" w:hAnsi="Garamond" w:cs="Calibri"/>
        </w:rPr>
        <w:t>was</w:t>
      </w:r>
      <w:r w:rsidRPr="00D73639">
        <w:rPr>
          <w:rFonts w:ascii="Garamond" w:hAnsi="Garamond" w:cs="Calibri"/>
        </w:rPr>
        <w:t xml:space="preserve"> adjusted to represent the same proportion of TME as the full-claim population, with excess non-claims redistributed to the other service categories.  If the PMPM amount for each service category of the partial-claim population </w:t>
      </w:r>
      <w:r w:rsidR="00E240DB" w:rsidRPr="00D73639">
        <w:rPr>
          <w:rFonts w:ascii="Garamond" w:hAnsi="Garamond" w:cs="Calibri"/>
        </w:rPr>
        <w:t>was</w:t>
      </w:r>
      <w:r w:rsidRPr="00D73639">
        <w:rPr>
          <w:rFonts w:ascii="Garamond" w:hAnsi="Garamond" w:cs="Calibri"/>
        </w:rPr>
        <w:t xml:space="preserve"> less than that of the full-claim population, adjusted to partial-claim risk scores, </w:t>
      </w:r>
      <w:r w:rsidR="00BF13CF" w:rsidRPr="00D73639">
        <w:rPr>
          <w:rFonts w:ascii="Garamond" w:hAnsi="Garamond" w:cs="Calibri"/>
        </w:rPr>
        <w:t>CHIA</w:t>
      </w:r>
      <w:r w:rsidRPr="00D73639">
        <w:rPr>
          <w:rFonts w:ascii="Garamond" w:hAnsi="Garamond" w:cs="Calibri"/>
        </w:rPr>
        <w:t xml:space="preserve"> </w:t>
      </w:r>
      <w:r w:rsidR="00E240DB" w:rsidRPr="00D73639">
        <w:rPr>
          <w:rFonts w:ascii="Garamond" w:hAnsi="Garamond" w:cs="Calibri"/>
        </w:rPr>
        <w:t>used</w:t>
      </w:r>
      <w:r w:rsidRPr="00D73639">
        <w:rPr>
          <w:rFonts w:ascii="Garamond" w:hAnsi="Garamond" w:cs="Calibri"/>
        </w:rPr>
        <w:t xml:space="preserve"> the adjusted full-claim PMPM amount for </w:t>
      </w:r>
      <w:r w:rsidR="00191486" w:rsidRPr="00D73639">
        <w:rPr>
          <w:rFonts w:ascii="Garamond" w:hAnsi="Garamond" w:cs="Calibri"/>
        </w:rPr>
        <w:t xml:space="preserve">the </w:t>
      </w:r>
      <w:r w:rsidRPr="00D73639">
        <w:rPr>
          <w:rFonts w:ascii="Garamond" w:hAnsi="Garamond" w:cs="Calibri"/>
        </w:rPr>
        <w:t xml:space="preserve">service categories. </w:t>
      </w:r>
    </w:p>
    <w:p w14:paraId="4C69676F" w14:textId="77777777" w:rsidR="00DF7961" w:rsidRPr="00D73639" w:rsidRDefault="00CF1B7B" w:rsidP="00DF7961">
      <w:pPr>
        <w:rPr>
          <w:rFonts w:ascii="Garamond" w:hAnsi="Garamond" w:cs="Calibri"/>
        </w:rPr>
      </w:pPr>
      <w:r w:rsidRPr="00D73639">
        <w:rPr>
          <w:rFonts w:ascii="Garamond" w:hAnsi="Garamond" w:cs="Calibri"/>
        </w:rPr>
        <w:t xml:space="preserve">To include expenditures from the commercial payers with smaller market shares in Massachusetts that are not required to submit TME data, </w:t>
      </w:r>
      <w:r w:rsidR="00BF13CF" w:rsidRPr="00D73639">
        <w:rPr>
          <w:rFonts w:ascii="Garamond" w:hAnsi="Garamond" w:cs="Calibri"/>
        </w:rPr>
        <w:t>CHIA</w:t>
      </w:r>
      <w:r w:rsidRPr="00D73639">
        <w:rPr>
          <w:rFonts w:ascii="Garamond" w:hAnsi="Garamond" w:cs="Calibri"/>
        </w:rPr>
        <w:t xml:space="preserve"> utilized expense information from </w:t>
      </w:r>
      <w:proofErr w:type="gramStart"/>
      <w:r w:rsidRPr="00D73639">
        <w:rPr>
          <w:rFonts w:ascii="Garamond" w:hAnsi="Garamond" w:cs="Calibri"/>
        </w:rPr>
        <w:t>publicly-available</w:t>
      </w:r>
      <w:proofErr w:type="gramEnd"/>
      <w:r w:rsidRPr="00D73639">
        <w:rPr>
          <w:rFonts w:ascii="Garamond" w:hAnsi="Garamond" w:cs="Calibri"/>
        </w:rPr>
        <w:t xml:space="preserve"> data sources. For </w:t>
      </w:r>
      <w:r w:rsidR="00191486" w:rsidRPr="00D73639">
        <w:rPr>
          <w:rFonts w:ascii="Garamond" w:hAnsi="Garamond" w:cs="Calibri"/>
        </w:rPr>
        <w:t xml:space="preserve">both </w:t>
      </w:r>
      <w:r w:rsidRPr="00D73639">
        <w:rPr>
          <w:rFonts w:ascii="Garamond" w:hAnsi="Garamond" w:cs="Calibri"/>
        </w:rPr>
        <w:t xml:space="preserve">2012 </w:t>
      </w:r>
      <w:r w:rsidR="00191486" w:rsidRPr="00D73639">
        <w:rPr>
          <w:rFonts w:ascii="Garamond" w:hAnsi="Garamond" w:cs="Calibri"/>
        </w:rPr>
        <w:t xml:space="preserve">and 2013 </w:t>
      </w:r>
      <w:r w:rsidRPr="00D73639">
        <w:rPr>
          <w:rFonts w:ascii="Garamond" w:hAnsi="Garamond" w:cs="Calibri"/>
        </w:rPr>
        <w:t xml:space="preserve">spending, the </w:t>
      </w:r>
      <w:r w:rsidR="0061712B">
        <w:rPr>
          <w:rFonts w:ascii="Garamond" w:hAnsi="Garamond" w:cs="Calibri"/>
        </w:rPr>
        <w:t>M</w:t>
      </w:r>
      <w:r w:rsidRPr="00D73639">
        <w:rPr>
          <w:rFonts w:ascii="Garamond" w:hAnsi="Garamond" w:cs="Calibri"/>
        </w:rPr>
        <w:t xml:space="preserve">edical </w:t>
      </w:r>
      <w:r w:rsidR="0061712B">
        <w:rPr>
          <w:rFonts w:ascii="Garamond" w:hAnsi="Garamond" w:cs="Calibri"/>
        </w:rPr>
        <w:t>L</w:t>
      </w:r>
      <w:r w:rsidRPr="00D73639">
        <w:rPr>
          <w:rFonts w:ascii="Garamond" w:hAnsi="Garamond" w:cs="Calibri"/>
        </w:rPr>
        <w:t xml:space="preserve">oss </w:t>
      </w:r>
      <w:r w:rsidR="0061712B">
        <w:rPr>
          <w:rFonts w:ascii="Garamond" w:hAnsi="Garamond" w:cs="Calibri"/>
        </w:rPr>
        <w:t>R</w:t>
      </w:r>
      <w:r w:rsidRPr="00D73639">
        <w:rPr>
          <w:rFonts w:ascii="Garamond" w:hAnsi="Garamond" w:cs="Calibri"/>
        </w:rPr>
        <w:t xml:space="preserve">atio (MLR) reports filed with </w:t>
      </w:r>
      <w:r w:rsidR="00191486" w:rsidRPr="00D73639">
        <w:rPr>
          <w:rFonts w:ascii="Garamond" w:hAnsi="Garamond" w:cs="Calibri"/>
        </w:rPr>
        <w:t xml:space="preserve">the </w:t>
      </w:r>
      <w:r w:rsidR="0061712B">
        <w:rPr>
          <w:rFonts w:ascii="Garamond" w:hAnsi="Garamond" w:cs="Calibri"/>
        </w:rPr>
        <w:t xml:space="preserve">federal </w:t>
      </w:r>
      <w:r w:rsidR="00191486" w:rsidRPr="00D73639">
        <w:rPr>
          <w:rFonts w:ascii="Garamond" w:hAnsi="Garamond" w:cs="Calibri"/>
        </w:rPr>
        <w:t>Center for Consumer Information and Insurance Oversight (CCIIO)</w:t>
      </w:r>
      <w:r w:rsidRPr="00D73639">
        <w:rPr>
          <w:rFonts w:ascii="Garamond" w:hAnsi="Garamond" w:cs="Calibri"/>
        </w:rPr>
        <w:t xml:space="preserve"> were used. </w:t>
      </w:r>
      <w:r w:rsidR="00DF7961" w:rsidRPr="00D73639">
        <w:rPr>
          <w:rFonts w:ascii="Garamond" w:hAnsi="Garamond" w:cs="Calibri"/>
        </w:rPr>
        <w:t xml:space="preserve">Only commercial payers with established </w:t>
      </w:r>
      <w:proofErr w:type="gramStart"/>
      <w:r w:rsidR="00DF7961" w:rsidRPr="00D73639">
        <w:rPr>
          <w:rFonts w:ascii="Garamond" w:hAnsi="Garamond" w:cs="Calibri"/>
        </w:rPr>
        <w:t>Massachusetts</w:t>
      </w:r>
      <w:proofErr w:type="gramEnd"/>
      <w:r w:rsidR="00DF7961" w:rsidRPr="00D73639">
        <w:rPr>
          <w:rFonts w:ascii="Garamond" w:hAnsi="Garamond" w:cs="Calibri"/>
        </w:rPr>
        <w:t xml:space="preserve"> contracts </w:t>
      </w:r>
      <w:r w:rsidR="007E54AB" w:rsidRPr="00D73639">
        <w:rPr>
          <w:rFonts w:ascii="Garamond" w:hAnsi="Garamond" w:cs="Calibri"/>
        </w:rPr>
        <w:t>were</w:t>
      </w:r>
      <w:r w:rsidR="00DF7961" w:rsidRPr="00D73639">
        <w:rPr>
          <w:rFonts w:ascii="Garamond" w:hAnsi="Garamond" w:cs="Calibri"/>
        </w:rPr>
        <w:t xml:space="preserve"> included in the calculation, as THCE is intended to capture health care expenditures for Massachusetts residents only. To estimate the proportion of the reported spending that applies to </w:t>
      </w:r>
      <w:proofErr w:type="gramStart"/>
      <w:r w:rsidR="00DF7961" w:rsidRPr="00D73639">
        <w:rPr>
          <w:rFonts w:ascii="Garamond" w:hAnsi="Garamond" w:cs="Calibri"/>
        </w:rPr>
        <w:t>Massachusetts</w:t>
      </w:r>
      <w:proofErr w:type="gramEnd"/>
      <w:r w:rsidR="00DF7961" w:rsidRPr="00D73639">
        <w:rPr>
          <w:rFonts w:ascii="Garamond" w:hAnsi="Garamond" w:cs="Calibri"/>
        </w:rPr>
        <w:t xml:space="preserve"> residents, </w:t>
      </w:r>
      <w:r w:rsidR="00BF13CF" w:rsidRPr="00D73639">
        <w:rPr>
          <w:rFonts w:ascii="Garamond" w:hAnsi="Garamond" w:cs="Calibri"/>
        </w:rPr>
        <w:t>CHIA</w:t>
      </w:r>
      <w:r w:rsidR="00DF7961" w:rsidRPr="00D73639">
        <w:rPr>
          <w:rFonts w:ascii="Garamond" w:hAnsi="Garamond" w:cs="Calibri"/>
        </w:rPr>
        <w:t xml:space="preserve"> </w:t>
      </w:r>
      <w:r w:rsidR="007E54AB" w:rsidRPr="00D73639">
        <w:rPr>
          <w:rFonts w:ascii="Garamond" w:hAnsi="Garamond" w:cs="Calibri"/>
        </w:rPr>
        <w:t>used</w:t>
      </w:r>
      <w:r w:rsidR="00DF7961" w:rsidRPr="00D73639">
        <w:rPr>
          <w:rFonts w:ascii="Garamond" w:hAnsi="Garamond" w:cs="Calibri"/>
        </w:rPr>
        <w:t xml:space="preserve"> hospital-reported discharge data to estimate the proportion of hospital inpatient charges that </w:t>
      </w:r>
      <w:r w:rsidR="00DB6E53" w:rsidRPr="00D73639">
        <w:rPr>
          <w:rFonts w:ascii="Garamond" w:hAnsi="Garamond" w:cs="Calibri"/>
        </w:rPr>
        <w:t xml:space="preserve">were </w:t>
      </w:r>
      <w:r w:rsidR="00DF7961" w:rsidRPr="00D73639">
        <w:rPr>
          <w:rFonts w:ascii="Garamond" w:hAnsi="Garamond" w:cs="Calibri"/>
        </w:rPr>
        <w:t xml:space="preserve">non-Massachusetts </w:t>
      </w:r>
      <w:r w:rsidR="00DF7961" w:rsidRPr="00D73639">
        <w:rPr>
          <w:rFonts w:ascii="Garamond" w:hAnsi="Garamond" w:cs="Calibri"/>
        </w:rPr>
        <w:lastRenderedPageBreak/>
        <w:t xml:space="preserve">residents. This proportion </w:t>
      </w:r>
      <w:r w:rsidR="007E54AB" w:rsidRPr="00D73639">
        <w:rPr>
          <w:rFonts w:ascii="Garamond" w:hAnsi="Garamond" w:cs="Calibri"/>
        </w:rPr>
        <w:t>was then</w:t>
      </w:r>
      <w:r w:rsidR="00DF7961" w:rsidRPr="00D73639">
        <w:rPr>
          <w:rFonts w:ascii="Garamond" w:hAnsi="Garamond" w:cs="Calibri"/>
        </w:rPr>
        <w:t xml:space="preserve"> applied to the reported spending to exclude the estimated proportion of expenditures on behalf of non-Massachusetts residents. This approach ensure</w:t>
      </w:r>
      <w:r w:rsidR="00162DB9" w:rsidRPr="00D73639">
        <w:rPr>
          <w:rFonts w:ascii="Garamond" w:hAnsi="Garamond" w:cs="Calibri"/>
        </w:rPr>
        <w:t>d</w:t>
      </w:r>
      <w:r w:rsidR="00DF7961" w:rsidRPr="00D73639">
        <w:rPr>
          <w:rFonts w:ascii="Garamond" w:hAnsi="Garamond" w:cs="Calibri"/>
        </w:rPr>
        <w:t xml:space="preserve"> that THCE include</w:t>
      </w:r>
      <w:r w:rsidR="00162DB9" w:rsidRPr="00D73639">
        <w:rPr>
          <w:rFonts w:ascii="Garamond" w:hAnsi="Garamond" w:cs="Calibri"/>
        </w:rPr>
        <w:t>d</w:t>
      </w:r>
      <w:r w:rsidR="00DF7961" w:rsidRPr="00D73639">
        <w:rPr>
          <w:rFonts w:ascii="Garamond" w:hAnsi="Garamond" w:cs="Calibri"/>
        </w:rPr>
        <w:t xml:space="preserve"> expenditures from all private health insurance plans that are licensed to sell health insurance in Massachusetts. </w:t>
      </w:r>
    </w:p>
    <w:p w14:paraId="02B1E2AC" w14:textId="77777777" w:rsidR="007E54AB" w:rsidRPr="00D73639" w:rsidRDefault="007E54AB" w:rsidP="007E54AB">
      <w:pPr>
        <w:rPr>
          <w:rFonts w:ascii="Garamond" w:hAnsi="Garamond"/>
          <w:color w:val="000000"/>
          <w:u w:val="single"/>
        </w:rPr>
      </w:pPr>
      <w:r w:rsidRPr="00D73639">
        <w:rPr>
          <w:rFonts w:ascii="Garamond" w:hAnsi="Garamond"/>
          <w:color w:val="000000"/>
          <w:u w:val="single"/>
        </w:rPr>
        <w:t>Public Coverage</w:t>
      </w:r>
      <w:r w:rsidR="0061712B">
        <w:rPr>
          <w:rFonts w:ascii="Garamond" w:hAnsi="Garamond"/>
          <w:color w:val="000000"/>
          <w:u w:val="single"/>
        </w:rPr>
        <w:t xml:space="preserve"> Expenditures</w:t>
      </w:r>
    </w:p>
    <w:p w14:paraId="7D518FB0" w14:textId="77777777" w:rsidR="007E54AB" w:rsidRPr="00D73639" w:rsidRDefault="007E54AB" w:rsidP="007E54AB">
      <w:pPr>
        <w:rPr>
          <w:rFonts w:ascii="Garamond" w:hAnsi="Garamond"/>
          <w:color w:val="000000"/>
        </w:rPr>
      </w:pPr>
      <w:r w:rsidRPr="00D73639">
        <w:rPr>
          <w:rFonts w:ascii="Garamond" w:hAnsi="Garamond"/>
          <w:color w:val="000000"/>
        </w:rPr>
        <w:t xml:space="preserve">In addition to expenditures by </w:t>
      </w:r>
      <w:r w:rsidR="001B11B3" w:rsidRPr="00D73639">
        <w:rPr>
          <w:rFonts w:ascii="Garamond" w:hAnsi="Garamond"/>
          <w:color w:val="000000"/>
        </w:rPr>
        <w:t>commercial payers</w:t>
      </w:r>
      <w:r w:rsidRPr="00D73639">
        <w:rPr>
          <w:rFonts w:ascii="Garamond" w:hAnsi="Garamond"/>
          <w:color w:val="000000"/>
        </w:rPr>
        <w:t xml:space="preserve"> and their members, THCE </w:t>
      </w:r>
      <w:r w:rsidR="00E80CC5" w:rsidRPr="00D73639">
        <w:rPr>
          <w:rFonts w:ascii="Garamond" w:hAnsi="Garamond"/>
          <w:color w:val="000000"/>
        </w:rPr>
        <w:t>also include</w:t>
      </w:r>
      <w:r w:rsidR="0061712B">
        <w:rPr>
          <w:rFonts w:ascii="Garamond" w:hAnsi="Garamond"/>
          <w:color w:val="000000"/>
        </w:rPr>
        <w:t>s</w:t>
      </w:r>
      <w:r w:rsidRPr="00D73639">
        <w:rPr>
          <w:rFonts w:ascii="Garamond" w:hAnsi="Garamond"/>
          <w:color w:val="000000"/>
        </w:rPr>
        <w:t xml:space="preserve"> expenditures from public coverage and programs, including </w:t>
      </w:r>
      <w:proofErr w:type="spellStart"/>
      <w:r w:rsidRPr="00D73639">
        <w:rPr>
          <w:rFonts w:ascii="Garamond" w:hAnsi="Garamond"/>
          <w:color w:val="000000"/>
        </w:rPr>
        <w:t>MassHealth</w:t>
      </w:r>
      <w:proofErr w:type="spellEnd"/>
      <w:r w:rsidRPr="00D73639">
        <w:rPr>
          <w:rFonts w:ascii="Garamond" w:hAnsi="Garamond"/>
          <w:color w:val="000000"/>
        </w:rPr>
        <w:t xml:space="preserve"> Managed Care Organizations (MCOs), Commonwealth Care MCOs, </w:t>
      </w:r>
      <w:proofErr w:type="spellStart"/>
      <w:r w:rsidRPr="00D73639">
        <w:rPr>
          <w:rFonts w:ascii="Garamond" w:hAnsi="Garamond"/>
          <w:color w:val="000000"/>
        </w:rPr>
        <w:t>MassHealth</w:t>
      </w:r>
      <w:proofErr w:type="spellEnd"/>
      <w:r w:rsidRPr="00D73639">
        <w:rPr>
          <w:rFonts w:ascii="Garamond" w:hAnsi="Garamond"/>
          <w:color w:val="000000"/>
        </w:rPr>
        <w:t xml:space="preserve">, Medicare, </w:t>
      </w:r>
      <w:r w:rsidR="001B11B3" w:rsidRPr="00D73639">
        <w:rPr>
          <w:rFonts w:ascii="Garamond" w:hAnsi="Garamond"/>
          <w:color w:val="000000"/>
        </w:rPr>
        <w:t xml:space="preserve">Medicare Advantage plans, </w:t>
      </w:r>
      <w:r w:rsidRPr="00D73639">
        <w:rPr>
          <w:rFonts w:ascii="Garamond" w:hAnsi="Garamond"/>
          <w:color w:val="000000"/>
        </w:rPr>
        <w:t xml:space="preserve">Health Safety Net (HSN), Medical Security Program, and Veteran Affairs. </w:t>
      </w:r>
    </w:p>
    <w:p w14:paraId="3D023D6A" w14:textId="77777777" w:rsidR="007E54AB" w:rsidRPr="00D73639" w:rsidRDefault="00E80CC5" w:rsidP="007E54AB">
      <w:pPr>
        <w:rPr>
          <w:rFonts w:ascii="Garamond" w:hAnsi="Garamond"/>
          <w:color w:val="000000"/>
        </w:rPr>
      </w:pPr>
      <w:r w:rsidRPr="00D73639">
        <w:rPr>
          <w:rFonts w:ascii="Garamond" w:hAnsi="Garamond"/>
          <w:color w:val="000000"/>
        </w:rPr>
        <w:t>Data for</w:t>
      </w:r>
      <w:r w:rsidR="007E54AB" w:rsidRPr="00D73639">
        <w:rPr>
          <w:rFonts w:ascii="Garamond" w:hAnsi="Garamond"/>
          <w:color w:val="000000"/>
        </w:rPr>
        <w:t xml:space="preserve"> </w:t>
      </w:r>
      <w:proofErr w:type="spellStart"/>
      <w:r w:rsidR="007E54AB" w:rsidRPr="00D73639">
        <w:rPr>
          <w:rFonts w:ascii="Garamond" w:hAnsi="Garamond"/>
          <w:color w:val="000000"/>
        </w:rPr>
        <w:t>M</w:t>
      </w:r>
      <w:r w:rsidR="00AB7929" w:rsidRPr="00D73639">
        <w:rPr>
          <w:rFonts w:ascii="Garamond" w:hAnsi="Garamond"/>
          <w:color w:val="000000"/>
        </w:rPr>
        <w:t>assHealth</w:t>
      </w:r>
      <w:proofErr w:type="spellEnd"/>
      <w:r w:rsidR="007E54AB" w:rsidRPr="00D73639">
        <w:rPr>
          <w:rFonts w:ascii="Garamond" w:hAnsi="Garamond"/>
          <w:color w:val="000000"/>
        </w:rPr>
        <w:t xml:space="preserve"> MCO, Commonwealth Care </w:t>
      </w:r>
      <w:r w:rsidRPr="00D73639">
        <w:rPr>
          <w:rFonts w:ascii="Garamond" w:hAnsi="Garamond"/>
          <w:color w:val="000000"/>
        </w:rPr>
        <w:t>MCO and</w:t>
      </w:r>
      <w:r w:rsidR="007E54AB" w:rsidRPr="00D73639">
        <w:rPr>
          <w:rFonts w:ascii="Garamond" w:hAnsi="Garamond"/>
          <w:color w:val="000000"/>
        </w:rPr>
        <w:t xml:space="preserve"> Medicare Advantage plans was </w:t>
      </w:r>
      <w:r w:rsidRPr="00D73639">
        <w:rPr>
          <w:rFonts w:ascii="Garamond" w:hAnsi="Garamond"/>
          <w:color w:val="000000"/>
        </w:rPr>
        <w:t xml:space="preserve">obtained from TME data filed by commercial payers with </w:t>
      </w:r>
      <w:r w:rsidR="00BF13CF" w:rsidRPr="00D73639">
        <w:rPr>
          <w:rFonts w:ascii="Garamond" w:hAnsi="Garamond"/>
          <w:color w:val="000000"/>
        </w:rPr>
        <w:t>CHIA</w:t>
      </w:r>
      <w:r w:rsidRPr="00D73639">
        <w:rPr>
          <w:rFonts w:ascii="Garamond" w:hAnsi="Garamond"/>
          <w:color w:val="000000"/>
        </w:rPr>
        <w:t xml:space="preserve">. </w:t>
      </w:r>
      <w:r w:rsidR="007E54AB" w:rsidRPr="00D73639">
        <w:rPr>
          <w:rFonts w:ascii="Garamond" w:hAnsi="Garamond"/>
          <w:color w:val="000000"/>
        </w:rPr>
        <w:t>Massachusetts beneficiar</w:t>
      </w:r>
      <w:r w:rsidR="007C35B4" w:rsidRPr="00D73639">
        <w:rPr>
          <w:rFonts w:ascii="Garamond" w:hAnsi="Garamond"/>
          <w:color w:val="000000"/>
        </w:rPr>
        <w:t xml:space="preserve">ies’ expenditures from </w:t>
      </w:r>
      <w:r w:rsidR="007E54AB" w:rsidRPr="00D73639">
        <w:rPr>
          <w:rFonts w:ascii="Garamond" w:hAnsi="Garamond"/>
          <w:color w:val="000000"/>
        </w:rPr>
        <w:t xml:space="preserve">Medicare Parts A, B and D </w:t>
      </w:r>
      <w:r w:rsidR="00AB7929" w:rsidRPr="00D73639">
        <w:rPr>
          <w:rFonts w:ascii="Garamond" w:hAnsi="Garamond"/>
          <w:color w:val="000000"/>
        </w:rPr>
        <w:t xml:space="preserve">were </w:t>
      </w:r>
      <w:r w:rsidR="007E54AB" w:rsidRPr="00D73639">
        <w:rPr>
          <w:rFonts w:ascii="Garamond" w:hAnsi="Garamond"/>
          <w:color w:val="000000"/>
        </w:rPr>
        <w:t xml:space="preserve">provided to </w:t>
      </w:r>
      <w:r w:rsidR="00BF13CF" w:rsidRPr="00D73639">
        <w:rPr>
          <w:rFonts w:ascii="Garamond" w:hAnsi="Garamond"/>
          <w:color w:val="000000"/>
        </w:rPr>
        <w:t>CHIA</w:t>
      </w:r>
      <w:r w:rsidR="007E54AB" w:rsidRPr="00D73639">
        <w:rPr>
          <w:rFonts w:ascii="Garamond" w:hAnsi="Garamond"/>
          <w:color w:val="000000"/>
        </w:rPr>
        <w:t xml:space="preserve"> by </w:t>
      </w:r>
      <w:r w:rsidR="006022B9" w:rsidRPr="00D73639">
        <w:rPr>
          <w:rFonts w:ascii="Garamond" w:hAnsi="Garamond"/>
          <w:color w:val="000000"/>
        </w:rPr>
        <w:t>CMS</w:t>
      </w:r>
      <w:r w:rsidR="00AB7929" w:rsidRPr="00D73639">
        <w:rPr>
          <w:rFonts w:ascii="Garamond" w:hAnsi="Garamond"/>
          <w:color w:val="000000"/>
        </w:rPr>
        <w:t xml:space="preserve">. </w:t>
      </w:r>
      <w:proofErr w:type="spellStart"/>
      <w:r w:rsidR="00AB7929" w:rsidRPr="00D73639">
        <w:rPr>
          <w:rFonts w:ascii="Garamond" w:hAnsi="Garamond"/>
          <w:color w:val="000000"/>
        </w:rPr>
        <w:t>MassHealth</w:t>
      </w:r>
      <w:proofErr w:type="spellEnd"/>
      <w:r w:rsidR="00AB7929" w:rsidRPr="00D73639">
        <w:rPr>
          <w:rFonts w:ascii="Garamond" w:hAnsi="Garamond"/>
          <w:color w:val="000000"/>
        </w:rPr>
        <w:t xml:space="preserve"> and </w:t>
      </w:r>
      <w:r w:rsidR="006022B9" w:rsidRPr="00D73639">
        <w:rPr>
          <w:rFonts w:ascii="Garamond" w:hAnsi="Garamond"/>
          <w:color w:val="000000"/>
        </w:rPr>
        <w:t>HSN</w:t>
      </w:r>
      <w:r w:rsidR="00AB7929" w:rsidRPr="00D73639">
        <w:rPr>
          <w:rFonts w:ascii="Garamond" w:hAnsi="Garamond"/>
          <w:color w:val="000000"/>
        </w:rPr>
        <w:t xml:space="preserve"> data was obtained through collaboration with those agencies’ financial departments. </w:t>
      </w:r>
      <w:r w:rsidR="007E54AB" w:rsidRPr="00D73639">
        <w:rPr>
          <w:rFonts w:ascii="Garamond" w:hAnsi="Garamond"/>
          <w:color w:val="000000"/>
        </w:rPr>
        <w:t xml:space="preserve"> </w:t>
      </w:r>
      <w:r w:rsidR="007C35B4" w:rsidRPr="00D73639">
        <w:rPr>
          <w:rFonts w:ascii="Garamond" w:hAnsi="Garamond"/>
          <w:color w:val="000000"/>
        </w:rPr>
        <w:t xml:space="preserve">Data on the Medical Security Program was </w:t>
      </w:r>
      <w:r w:rsidR="002D1F99" w:rsidRPr="00D73639">
        <w:rPr>
          <w:rFonts w:ascii="Garamond" w:hAnsi="Garamond"/>
          <w:color w:val="000000"/>
        </w:rPr>
        <w:t xml:space="preserve">sourced </w:t>
      </w:r>
      <w:r w:rsidR="007C35B4" w:rsidRPr="00D73639">
        <w:rPr>
          <w:rFonts w:ascii="Garamond" w:hAnsi="Garamond"/>
          <w:color w:val="000000"/>
        </w:rPr>
        <w:t xml:space="preserve">from the </w:t>
      </w:r>
      <w:r w:rsidR="002D1F99" w:rsidRPr="00D73639">
        <w:rPr>
          <w:rFonts w:ascii="Garamond" w:eastAsia="Times New Roman" w:hAnsi="Garamond"/>
          <w:color w:val="000000"/>
        </w:rPr>
        <w:t>commercial payers as part of the annual TME data filing.</w:t>
      </w:r>
      <w:r w:rsidR="007C35B4" w:rsidRPr="00D73639">
        <w:rPr>
          <w:rFonts w:ascii="Garamond" w:eastAsia="Times New Roman" w:hAnsi="Garamond"/>
          <w:color w:val="000000"/>
        </w:rPr>
        <w:t xml:space="preserve"> </w:t>
      </w:r>
      <w:r w:rsidR="00AB7929" w:rsidRPr="00D73639">
        <w:rPr>
          <w:rFonts w:ascii="Garamond" w:hAnsi="Garamond"/>
          <w:color w:val="000000"/>
        </w:rPr>
        <w:t>The data source</w:t>
      </w:r>
      <w:r w:rsidR="007C35B4" w:rsidRPr="00D73639">
        <w:rPr>
          <w:rFonts w:ascii="Garamond" w:hAnsi="Garamond"/>
          <w:color w:val="000000"/>
        </w:rPr>
        <w:t xml:space="preserve"> for</w:t>
      </w:r>
      <w:r w:rsidR="00AB7929" w:rsidRPr="00D73639">
        <w:rPr>
          <w:rFonts w:ascii="Garamond" w:hAnsi="Garamond"/>
          <w:color w:val="000000"/>
        </w:rPr>
        <w:t xml:space="preserve"> Veteran Affairs spending was the annual reported expenditures of “Medical Care” by the National Center for Veteran Analysis and Statistics.</w:t>
      </w:r>
      <w:r w:rsidR="00AB7929" w:rsidRPr="00D73639">
        <w:rPr>
          <w:rStyle w:val="FootnoteReference"/>
          <w:rFonts w:ascii="Garamond" w:hAnsi="Garamond"/>
          <w:color w:val="000000"/>
        </w:rPr>
        <w:footnoteReference w:id="4"/>
      </w:r>
    </w:p>
    <w:p w14:paraId="19FADA43" w14:textId="77777777" w:rsidR="007E54AB" w:rsidRPr="00D73639" w:rsidRDefault="007E54AB" w:rsidP="007E54AB">
      <w:pPr>
        <w:rPr>
          <w:rFonts w:ascii="Garamond" w:hAnsi="Garamond"/>
          <w:color w:val="000000"/>
          <w:u w:val="single"/>
        </w:rPr>
      </w:pPr>
      <w:r w:rsidRPr="00D73639">
        <w:rPr>
          <w:rFonts w:ascii="Garamond" w:hAnsi="Garamond"/>
          <w:color w:val="000000"/>
          <w:u w:val="single"/>
        </w:rPr>
        <w:t>Net Cost of Private Health Insurance (NCPHI)</w:t>
      </w:r>
    </w:p>
    <w:p w14:paraId="4793EC25" w14:textId="77777777" w:rsidR="007E54AB" w:rsidRPr="00D73639" w:rsidRDefault="00BF13CF" w:rsidP="007E54AB">
      <w:pPr>
        <w:rPr>
          <w:rFonts w:ascii="Garamond" w:hAnsi="Garamond"/>
          <w:color w:val="000000"/>
        </w:rPr>
      </w:pPr>
      <w:r w:rsidRPr="00D73639">
        <w:rPr>
          <w:rFonts w:ascii="Garamond" w:hAnsi="Garamond"/>
          <w:color w:val="000000"/>
        </w:rPr>
        <w:t>CHIA</w:t>
      </w:r>
      <w:r w:rsidR="007E54AB" w:rsidRPr="00D73639">
        <w:rPr>
          <w:rFonts w:ascii="Garamond" w:hAnsi="Garamond"/>
          <w:color w:val="000000"/>
        </w:rPr>
        <w:t xml:space="preserve"> calculated NCPHI for all Massachusetts residents, </w:t>
      </w:r>
      <w:r w:rsidR="007E54AB" w:rsidRPr="00D73639">
        <w:rPr>
          <w:rFonts w:ascii="Garamond" w:hAnsi="Garamond"/>
          <w:color w:val="000000" w:themeColor="text1"/>
        </w:rPr>
        <w:t>both those who are covered by private health insurance licensed by the Massachusetts Division of Insurance (DOI), and those obtaining coverage through out-of-state insurance plans</w:t>
      </w:r>
      <w:r w:rsidR="007E54AB" w:rsidRPr="00D73639">
        <w:rPr>
          <w:rFonts w:ascii="Garamond" w:hAnsi="Garamond"/>
          <w:color w:val="000000"/>
        </w:rPr>
        <w:t>. NCPHI also include</w:t>
      </w:r>
      <w:r w:rsidR="0061712B">
        <w:rPr>
          <w:rFonts w:ascii="Garamond" w:hAnsi="Garamond"/>
          <w:color w:val="000000"/>
        </w:rPr>
        <w:t>s</w:t>
      </w:r>
      <w:r w:rsidR="007E54AB" w:rsidRPr="00D73639">
        <w:rPr>
          <w:rFonts w:ascii="Garamond" w:hAnsi="Garamond"/>
          <w:color w:val="000000"/>
        </w:rPr>
        <w:t xml:space="preserve"> residents enrolling in private managed care plans of Medicare and </w:t>
      </w:r>
      <w:proofErr w:type="spellStart"/>
      <w:r w:rsidR="00D643EA" w:rsidRPr="00D73639">
        <w:rPr>
          <w:rFonts w:ascii="Garamond" w:hAnsi="Garamond"/>
          <w:color w:val="000000"/>
        </w:rPr>
        <w:t>MassHealth</w:t>
      </w:r>
      <w:proofErr w:type="spellEnd"/>
      <w:r w:rsidR="007E54AB" w:rsidRPr="00D73639">
        <w:rPr>
          <w:rFonts w:ascii="Garamond" w:hAnsi="Garamond"/>
          <w:color w:val="000000"/>
        </w:rPr>
        <w:t>, but exclude</w:t>
      </w:r>
      <w:r w:rsidR="0061712B">
        <w:rPr>
          <w:rFonts w:ascii="Garamond" w:hAnsi="Garamond"/>
          <w:color w:val="000000"/>
        </w:rPr>
        <w:t>s</w:t>
      </w:r>
      <w:r w:rsidR="007E54AB" w:rsidRPr="00D73639">
        <w:rPr>
          <w:rFonts w:ascii="Garamond" w:hAnsi="Garamond"/>
          <w:color w:val="000000"/>
        </w:rPr>
        <w:t xml:space="preserve"> out-of-state residents covered under Massachusetts-based insurance plans.</w:t>
      </w:r>
    </w:p>
    <w:p w14:paraId="10D71CF0" w14:textId="77777777" w:rsidR="007E54AB" w:rsidRPr="00D73639" w:rsidRDefault="007E54AB" w:rsidP="007E54AB">
      <w:pPr>
        <w:rPr>
          <w:rFonts w:ascii="Garamond" w:hAnsi="Garamond"/>
          <w:color w:val="000000"/>
        </w:rPr>
      </w:pPr>
      <w:r w:rsidRPr="00D73639">
        <w:rPr>
          <w:rFonts w:ascii="Garamond" w:hAnsi="Garamond"/>
          <w:color w:val="000000"/>
        </w:rPr>
        <w:t>Because of substantial differences among segments of the Massachusetts health insurance market, NCPHI was calculated on a PMPM basis separately for the five different market segments: (1) merged market</w:t>
      </w:r>
      <w:r w:rsidR="00EC292C">
        <w:rPr>
          <w:rStyle w:val="FootnoteReference"/>
          <w:rFonts w:ascii="Garamond" w:hAnsi="Garamond"/>
          <w:color w:val="000000"/>
        </w:rPr>
        <w:footnoteReference w:id="5"/>
      </w:r>
      <w:r w:rsidRPr="00D73639">
        <w:rPr>
          <w:rFonts w:ascii="Garamond" w:hAnsi="Garamond"/>
          <w:color w:val="000000"/>
        </w:rPr>
        <w:t xml:space="preserve">; (2) large group fully-insured; (3) Medicare Advantage; (4) Medicaid MCOs and Commonwealth Care; and (5) self-insured. </w:t>
      </w:r>
      <w:proofErr w:type="gramStart"/>
      <w:r w:rsidRPr="00D73639">
        <w:rPr>
          <w:rFonts w:ascii="Garamond" w:hAnsi="Garamond"/>
          <w:color w:val="000000"/>
        </w:rPr>
        <w:t xml:space="preserve">Each segment’s PMPM amount was then multiplied by the </w:t>
      </w:r>
      <w:r w:rsidR="002D1F99" w:rsidRPr="00D73639">
        <w:rPr>
          <w:rFonts w:ascii="Garamond" w:hAnsi="Garamond"/>
          <w:color w:val="000000"/>
        </w:rPr>
        <w:t xml:space="preserve">estimated </w:t>
      </w:r>
      <w:r w:rsidRPr="00D73639">
        <w:rPr>
          <w:rFonts w:ascii="Garamond" w:hAnsi="Garamond"/>
          <w:color w:val="000000"/>
        </w:rPr>
        <w:t>Massachusetts population in each segment to derive the total NCPHI</w:t>
      </w:r>
      <w:proofErr w:type="gramEnd"/>
      <w:r w:rsidRPr="00D73639">
        <w:rPr>
          <w:rFonts w:ascii="Garamond" w:hAnsi="Garamond"/>
          <w:color w:val="000000"/>
        </w:rPr>
        <w:t xml:space="preserve">. </w:t>
      </w:r>
    </w:p>
    <w:p w14:paraId="277DE055" w14:textId="77777777" w:rsidR="00AB7929" w:rsidRPr="00D73639" w:rsidRDefault="00AB7929" w:rsidP="00AB7929">
      <w:pPr>
        <w:rPr>
          <w:rFonts w:ascii="Garamond" w:hAnsi="Garamond"/>
          <w:color w:val="000000"/>
        </w:rPr>
      </w:pPr>
      <w:r w:rsidRPr="00D73639">
        <w:rPr>
          <w:rFonts w:ascii="Garamond" w:hAnsi="Garamond"/>
          <w:color w:val="000000"/>
        </w:rPr>
        <w:t xml:space="preserve">Further detail on these data sources and the </w:t>
      </w:r>
      <w:r w:rsidR="001B415C" w:rsidRPr="00D73639">
        <w:rPr>
          <w:rFonts w:ascii="Garamond" w:hAnsi="Garamond"/>
          <w:color w:val="000000"/>
        </w:rPr>
        <w:t>THCE</w:t>
      </w:r>
      <w:r w:rsidRPr="00D73639">
        <w:rPr>
          <w:rFonts w:ascii="Garamond" w:hAnsi="Garamond"/>
          <w:color w:val="000000"/>
        </w:rPr>
        <w:t xml:space="preserve"> methodology can be found in </w:t>
      </w:r>
      <w:r w:rsidR="00BF13CF" w:rsidRPr="00D73639">
        <w:rPr>
          <w:rFonts w:ascii="Garamond" w:hAnsi="Garamond"/>
          <w:color w:val="000000"/>
        </w:rPr>
        <w:t>CHIA</w:t>
      </w:r>
      <w:r w:rsidRPr="00D73639">
        <w:rPr>
          <w:rFonts w:ascii="Garamond" w:hAnsi="Garamond"/>
          <w:color w:val="000000"/>
        </w:rPr>
        <w:t xml:space="preserve">’s December 2013 publication </w:t>
      </w:r>
      <w:r w:rsidRPr="00D73639">
        <w:rPr>
          <w:rFonts w:ascii="Garamond" w:hAnsi="Garamond"/>
          <w:i/>
          <w:color w:val="000000"/>
        </w:rPr>
        <w:t>Massachusetts Total Health Care Expenditure Methodology</w:t>
      </w:r>
      <w:r w:rsidRPr="00D73639">
        <w:rPr>
          <w:rFonts w:ascii="Garamond" w:hAnsi="Garamond"/>
          <w:color w:val="000000"/>
        </w:rPr>
        <w:t>.</w:t>
      </w:r>
      <w:r w:rsidRPr="00D73639">
        <w:rPr>
          <w:rStyle w:val="FootnoteReference"/>
          <w:rFonts w:ascii="Garamond" w:hAnsi="Garamond"/>
          <w:color w:val="000000"/>
        </w:rPr>
        <w:footnoteReference w:id="6"/>
      </w:r>
    </w:p>
    <w:p w14:paraId="2313D8C0" w14:textId="77777777" w:rsidR="001B11B3" w:rsidRPr="00D73639" w:rsidRDefault="001B11B3" w:rsidP="001B11B3">
      <w:pPr>
        <w:spacing w:after="0"/>
        <w:rPr>
          <w:rFonts w:ascii="Garamond" w:hAnsi="Garamond"/>
          <w:b/>
        </w:rPr>
      </w:pPr>
    </w:p>
    <w:p w14:paraId="4B6EF63F" w14:textId="77777777" w:rsidR="00D73639" w:rsidRDefault="003058EA" w:rsidP="00D073D7">
      <w:pPr>
        <w:spacing w:after="0"/>
        <w:jc w:val="both"/>
        <w:rPr>
          <w:rFonts w:ascii="Garamond" w:hAnsi="Garamond"/>
        </w:rPr>
      </w:pPr>
      <w:r w:rsidRPr="00D73639">
        <w:rPr>
          <w:rFonts w:ascii="Garamond" w:hAnsi="Garamond"/>
          <w:b/>
          <w:color w:val="4F81BD" w:themeColor="accent1"/>
          <w:sz w:val="28"/>
          <w:u w:val="single"/>
        </w:rPr>
        <w:t xml:space="preserve">Health Care Cost Growth Benchmark </w:t>
      </w:r>
    </w:p>
    <w:p w14:paraId="7AE9A713" w14:textId="77777777" w:rsidR="001B11B3" w:rsidRPr="00D73639" w:rsidRDefault="00E509D1" w:rsidP="001B11B3">
      <w:pPr>
        <w:jc w:val="both"/>
        <w:rPr>
          <w:rFonts w:ascii="Garamond" w:hAnsi="Garamond"/>
          <w:b/>
          <w:color w:val="4F81BD" w:themeColor="accent1"/>
          <w:u w:val="single"/>
        </w:rPr>
      </w:pPr>
      <w:r w:rsidRPr="00D73639">
        <w:rPr>
          <w:rFonts w:ascii="Garamond" w:hAnsi="Garamond"/>
        </w:rPr>
        <w:t>[</w:t>
      </w:r>
      <w:r w:rsidR="00D73639" w:rsidRPr="00D73639">
        <w:rPr>
          <w:rFonts w:ascii="Garamond" w:hAnsi="Garamond"/>
        </w:rPr>
        <w:t>Metric</w:t>
      </w:r>
      <w:r w:rsidRPr="00D73639">
        <w:rPr>
          <w:rFonts w:ascii="Garamond" w:hAnsi="Garamond"/>
        </w:rPr>
        <w:t xml:space="preserve"> related to </w:t>
      </w:r>
      <w:r w:rsidR="005C173D">
        <w:rPr>
          <w:rFonts w:ascii="Garamond" w:hAnsi="Garamond"/>
        </w:rPr>
        <w:t>S</w:t>
      </w:r>
      <w:r w:rsidRPr="00D73639">
        <w:rPr>
          <w:rFonts w:ascii="Garamond" w:hAnsi="Garamond"/>
        </w:rPr>
        <w:t>upplements 1, 4, 7</w:t>
      </w:r>
      <w:r w:rsidR="005C173D">
        <w:rPr>
          <w:rFonts w:ascii="Garamond" w:hAnsi="Garamond"/>
        </w:rPr>
        <w:t xml:space="preserve">. 8, </w:t>
      </w:r>
      <w:r w:rsidRPr="00D73639">
        <w:rPr>
          <w:rFonts w:ascii="Garamond" w:hAnsi="Garamond"/>
        </w:rPr>
        <w:t>9]</w:t>
      </w:r>
    </w:p>
    <w:p w14:paraId="70BB7C16" w14:textId="77777777" w:rsidR="001B11B3" w:rsidRPr="00D73639" w:rsidRDefault="001B11B3" w:rsidP="001B11B3">
      <w:pPr>
        <w:spacing w:after="0"/>
        <w:rPr>
          <w:rFonts w:ascii="Garamond" w:hAnsi="Garamond"/>
          <w:b/>
        </w:rPr>
      </w:pPr>
      <w:r w:rsidRPr="00D73639">
        <w:rPr>
          <w:rFonts w:ascii="Garamond" w:hAnsi="Garamond"/>
          <w:b/>
        </w:rPr>
        <w:t xml:space="preserve">Health Care Cost Growth Benchmark </w:t>
      </w:r>
      <w:r w:rsidRPr="00D73639">
        <w:rPr>
          <w:rFonts w:ascii="Garamond" w:hAnsi="Garamond"/>
        </w:rPr>
        <w:t xml:space="preserve">is the projected annual percentage change in THCE in the Commonwealth, as established by the Health Policy Commission (HPC). </w:t>
      </w:r>
      <w:r w:rsidR="00304594" w:rsidRPr="00D73639">
        <w:rPr>
          <w:rFonts w:ascii="Garamond" w:hAnsi="Garamond"/>
        </w:rPr>
        <w:t xml:space="preserve">The health care cost growth benchmark is tied to growth in the state’s economy, the potential </w:t>
      </w:r>
      <w:r w:rsidR="0012353D">
        <w:rPr>
          <w:rFonts w:ascii="Garamond" w:hAnsi="Garamond"/>
        </w:rPr>
        <w:t>G</w:t>
      </w:r>
      <w:r w:rsidR="00304594" w:rsidRPr="00D73639">
        <w:rPr>
          <w:rFonts w:ascii="Garamond" w:hAnsi="Garamond"/>
        </w:rPr>
        <w:t xml:space="preserve">ross </w:t>
      </w:r>
      <w:r w:rsidR="0012353D">
        <w:rPr>
          <w:rFonts w:ascii="Garamond" w:hAnsi="Garamond"/>
        </w:rPr>
        <w:t>S</w:t>
      </w:r>
      <w:r w:rsidR="00304594" w:rsidRPr="00D73639">
        <w:rPr>
          <w:rFonts w:ascii="Garamond" w:hAnsi="Garamond"/>
        </w:rPr>
        <w:t xml:space="preserve">tate </w:t>
      </w:r>
      <w:r w:rsidR="0012353D">
        <w:rPr>
          <w:rFonts w:ascii="Garamond" w:hAnsi="Garamond"/>
        </w:rPr>
        <w:t>P</w:t>
      </w:r>
      <w:r w:rsidR="00304594" w:rsidRPr="00D73639">
        <w:rPr>
          <w:rFonts w:ascii="Garamond" w:hAnsi="Garamond"/>
        </w:rPr>
        <w:t xml:space="preserve">roduct (GSP). Chapter 224 has set the </w:t>
      </w:r>
      <w:r w:rsidR="0012353D">
        <w:rPr>
          <w:rFonts w:ascii="Garamond" w:hAnsi="Garamond"/>
        </w:rPr>
        <w:t xml:space="preserve">potential </w:t>
      </w:r>
      <w:r w:rsidR="00304594" w:rsidRPr="00D73639">
        <w:rPr>
          <w:rFonts w:ascii="Garamond" w:hAnsi="Garamond"/>
        </w:rPr>
        <w:t>GSP for 2013 at 3.6</w:t>
      </w:r>
      <w:r w:rsidR="00D643EA" w:rsidRPr="00D73639">
        <w:rPr>
          <w:rFonts w:ascii="Garamond" w:hAnsi="Garamond"/>
        </w:rPr>
        <w:t>%</w:t>
      </w:r>
      <w:r w:rsidR="00304594" w:rsidRPr="00D73639">
        <w:rPr>
          <w:rFonts w:ascii="Garamond" w:hAnsi="Garamond"/>
        </w:rPr>
        <w:t xml:space="preserve">. Subsequently, </w:t>
      </w:r>
      <w:r w:rsidR="00743A2E">
        <w:rPr>
          <w:rFonts w:ascii="Garamond" w:hAnsi="Garamond"/>
        </w:rPr>
        <w:t xml:space="preserve">the </w:t>
      </w:r>
      <w:r w:rsidR="00304594" w:rsidRPr="00D73639">
        <w:rPr>
          <w:rFonts w:ascii="Garamond" w:hAnsi="Garamond"/>
        </w:rPr>
        <w:t>HPC established the</w:t>
      </w:r>
      <w:r w:rsidRPr="00D73639">
        <w:rPr>
          <w:rFonts w:ascii="Garamond" w:hAnsi="Garamond"/>
        </w:rPr>
        <w:t xml:space="preserve"> </w:t>
      </w:r>
      <w:r w:rsidR="00304594" w:rsidRPr="00D73639">
        <w:rPr>
          <w:rFonts w:ascii="Garamond" w:hAnsi="Garamond"/>
        </w:rPr>
        <w:t xml:space="preserve">health care cost growth benchmark </w:t>
      </w:r>
      <w:r w:rsidRPr="00D73639">
        <w:rPr>
          <w:rFonts w:ascii="Garamond" w:hAnsi="Garamond"/>
        </w:rPr>
        <w:t>for 2013 at 3.6</w:t>
      </w:r>
      <w:r w:rsidR="00D643EA" w:rsidRPr="00D73639">
        <w:rPr>
          <w:rFonts w:ascii="Garamond" w:hAnsi="Garamond"/>
        </w:rPr>
        <w:t>%</w:t>
      </w:r>
      <w:r w:rsidR="00304594" w:rsidRPr="00D73639">
        <w:rPr>
          <w:rFonts w:ascii="Garamond" w:hAnsi="Garamond"/>
        </w:rPr>
        <w:t>.</w:t>
      </w:r>
    </w:p>
    <w:p w14:paraId="63943F51" w14:textId="77777777" w:rsidR="00D73639" w:rsidRPr="00D73639" w:rsidRDefault="00D73639" w:rsidP="00D73639">
      <w:pPr>
        <w:spacing w:after="0"/>
        <w:jc w:val="both"/>
        <w:rPr>
          <w:rFonts w:ascii="Garamond" w:hAnsi="Garamond"/>
          <w:b/>
          <w:color w:val="4F81BD" w:themeColor="accent1"/>
          <w:sz w:val="28"/>
          <w:u w:val="single"/>
        </w:rPr>
      </w:pPr>
      <w:r w:rsidRPr="00D73639">
        <w:rPr>
          <w:rFonts w:ascii="Garamond" w:hAnsi="Garamond"/>
          <w:b/>
          <w:color w:val="4F81BD" w:themeColor="accent1"/>
          <w:sz w:val="28"/>
          <w:u w:val="single"/>
        </w:rPr>
        <w:lastRenderedPageBreak/>
        <w:t>Contract-Membership, Commercial Premiums, Consumer Cost Sharing, and Benefit Levels</w:t>
      </w:r>
    </w:p>
    <w:p w14:paraId="494DF2D9" w14:textId="77777777" w:rsidR="00D73639" w:rsidRDefault="00D73639" w:rsidP="00D73639">
      <w:pPr>
        <w:spacing w:after="0"/>
        <w:jc w:val="both"/>
        <w:rPr>
          <w:rFonts w:ascii="Garamond" w:hAnsi="Garamond"/>
        </w:rPr>
      </w:pPr>
      <w:r w:rsidRPr="00D73639">
        <w:rPr>
          <w:rFonts w:ascii="Garamond" w:hAnsi="Garamond"/>
        </w:rPr>
        <w:t xml:space="preserve">[Metric related to </w:t>
      </w:r>
      <w:r w:rsidR="00C64E95">
        <w:rPr>
          <w:rFonts w:ascii="Garamond" w:hAnsi="Garamond"/>
        </w:rPr>
        <w:t>S</w:t>
      </w:r>
      <w:r w:rsidRPr="00D73639">
        <w:rPr>
          <w:rFonts w:ascii="Garamond" w:hAnsi="Garamond"/>
        </w:rPr>
        <w:t>upplements 2 - 3]</w:t>
      </w:r>
    </w:p>
    <w:p w14:paraId="4E6A424D" w14:textId="77777777" w:rsidR="00D73639" w:rsidRPr="00D73639" w:rsidRDefault="00D73639" w:rsidP="00D73639">
      <w:pPr>
        <w:spacing w:after="0"/>
        <w:jc w:val="both"/>
        <w:rPr>
          <w:rFonts w:ascii="Garamond" w:hAnsi="Garamond"/>
          <w:b/>
          <w:color w:val="4F81BD" w:themeColor="accent1"/>
          <w:u w:val="single"/>
        </w:rPr>
      </w:pPr>
    </w:p>
    <w:p w14:paraId="5D7E6B26" w14:textId="77777777" w:rsidR="00D73639" w:rsidRPr="00D73639" w:rsidRDefault="00D73639" w:rsidP="00D73639">
      <w:pPr>
        <w:spacing w:after="0"/>
        <w:jc w:val="both"/>
        <w:rPr>
          <w:rFonts w:ascii="Garamond" w:hAnsi="Garamond"/>
        </w:rPr>
      </w:pPr>
      <w:r w:rsidRPr="00D73639">
        <w:rPr>
          <w:rFonts w:ascii="Garamond" w:hAnsi="Garamond"/>
        </w:rPr>
        <w:t>CHIA received contract-membership, commercial premiums, consumer cost sharing, and benefit level data for 2011, 2012, and 2013 from affiliates of the following eight (8) payers:</w:t>
      </w:r>
      <w:r w:rsidRPr="00D73639">
        <w:rPr>
          <w:rFonts w:ascii="Garamond" w:hAnsi="Garamond"/>
          <w:vertAlign w:val="superscript"/>
        </w:rPr>
        <w:t xml:space="preserve"> </w:t>
      </w:r>
    </w:p>
    <w:p w14:paraId="55E16F37" w14:textId="77777777" w:rsidR="00D73639" w:rsidRPr="00D73639" w:rsidRDefault="00D73639" w:rsidP="00D73639">
      <w:pPr>
        <w:numPr>
          <w:ilvl w:val="0"/>
          <w:numId w:val="11"/>
        </w:numPr>
        <w:spacing w:after="0"/>
        <w:jc w:val="both"/>
        <w:rPr>
          <w:rFonts w:ascii="Garamond" w:hAnsi="Garamond"/>
        </w:rPr>
      </w:pPr>
      <w:r w:rsidRPr="00D73639">
        <w:rPr>
          <w:rFonts w:ascii="Garamond" w:hAnsi="Garamond"/>
        </w:rPr>
        <w:t xml:space="preserve">Blue Cross Blue Shield of </w:t>
      </w:r>
      <w:r w:rsidR="00743A2E">
        <w:rPr>
          <w:rFonts w:ascii="Garamond" w:hAnsi="Garamond"/>
        </w:rPr>
        <w:t>Massachusetts</w:t>
      </w:r>
    </w:p>
    <w:p w14:paraId="447465B9" w14:textId="77777777" w:rsidR="00D73639" w:rsidRPr="00D73639" w:rsidRDefault="00D73639" w:rsidP="00D73639">
      <w:pPr>
        <w:numPr>
          <w:ilvl w:val="0"/>
          <w:numId w:val="11"/>
        </w:numPr>
        <w:spacing w:after="0"/>
        <w:jc w:val="both"/>
        <w:rPr>
          <w:rFonts w:ascii="Garamond" w:hAnsi="Garamond"/>
        </w:rPr>
      </w:pPr>
      <w:r w:rsidRPr="00D73639">
        <w:rPr>
          <w:rFonts w:ascii="Garamond" w:hAnsi="Garamond"/>
        </w:rPr>
        <w:t>CIGNA</w:t>
      </w:r>
    </w:p>
    <w:p w14:paraId="406F54C1" w14:textId="77777777" w:rsidR="00D73639" w:rsidRPr="00D73639" w:rsidRDefault="00D73639" w:rsidP="00D73639">
      <w:pPr>
        <w:numPr>
          <w:ilvl w:val="0"/>
          <w:numId w:val="11"/>
        </w:numPr>
        <w:spacing w:after="0"/>
        <w:jc w:val="both"/>
        <w:rPr>
          <w:rFonts w:ascii="Garamond" w:hAnsi="Garamond"/>
        </w:rPr>
      </w:pPr>
      <w:r w:rsidRPr="00D73639">
        <w:rPr>
          <w:rFonts w:ascii="Garamond" w:hAnsi="Garamond"/>
        </w:rPr>
        <w:t>Fallon Health</w:t>
      </w:r>
    </w:p>
    <w:p w14:paraId="0A135532" w14:textId="77777777" w:rsidR="00D73639" w:rsidRPr="00D73639" w:rsidRDefault="00D73639" w:rsidP="00D73639">
      <w:pPr>
        <w:numPr>
          <w:ilvl w:val="0"/>
          <w:numId w:val="11"/>
        </w:numPr>
        <w:spacing w:after="0"/>
        <w:jc w:val="both"/>
        <w:rPr>
          <w:rFonts w:ascii="Garamond" w:hAnsi="Garamond"/>
        </w:rPr>
      </w:pPr>
      <w:r w:rsidRPr="00D73639">
        <w:rPr>
          <w:rFonts w:ascii="Garamond" w:hAnsi="Garamond"/>
        </w:rPr>
        <w:t>Harvard Pilgrim Health Care (including Health Plans, Inc.)</w:t>
      </w:r>
    </w:p>
    <w:p w14:paraId="22B813EA" w14:textId="77777777" w:rsidR="00D73639" w:rsidRPr="00D73639" w:rsidRDefault="00D73639" w:rsidP="00D73639">
      <w:pPr>
        <w:numPr>
          <w:ilvl w:val="0"/>
          <w:numId w:val="11"/>
        </w:numPr>
        <w:spacing w:after="0"/>
        <w:jc w:val="both"/>
        <w:rPr>
          <w:rFonts w:ascii="Garamond" w:hAnsi="Garamond"/>
        </w:rPr>
      </w:pPr>
      <w:r w:rsidRPr="00D73639">
        <w:rPr>
          <w:rFonts w:ascii="Garamond" w:hAnsi="Garamond"/>
        </w:rPr>
        <w:t>Health New England</w:t>
      </w:r>
    </w:p>
    <w:p w14:paraId="0AE0CD0E" w14:textId="77777777" w:rsidR="00D73639" w:rsidRPr="00D73639" w:rsidRDefault="00D73639" w:rsidP="00D73639">
      <w:pPr>
        <w:numPr>
          <w:ilvl w:val="0"/>
          <w:numId w:val="11"/>
        </w:numPr>
        <w:spacing w:after="0"/>
        <w:jc w:val="both"/>
        <w:rPr>
          <w:rFonts w:ascii="Garamond" w:hAnsi="Garamond"/>
        </w:rPr>
      </w:pPr>
      <w:r w:rsidRPr="00D73639">
        <w:rPr>
          <w:rFonts w:ascii="Garamond" w:hAnsi="Garamond"/>
        </w:rPr>
        <w:t>Neighborhood Health Plan</w:t>
      </w:r>
    </w:p>
    <w:p w14:paraId="6D274BC7" w14:textId="77777777" w:rsidR="00D73639" w:rsidRPr="00D73639" w:rsidRDefault="00D73639" w:rsidP="00D73639">
      <w:pPr>
        <w:numPr>
          <w:ilvl w:val="0"/>
          <w:numId w:val="11"/>
        </w:numPr>
        <w:spacing w:after="0"/>
        <w:jc w:val="both"/>
        <w:rPr>
          <w:rFonts w:ascii="Garamond" w:hAnsi="Garamond"/>
        </w:rPr>
      </w:pPr>
      <w:r w:rsidRPr="00D73639">
        <w:rPr>
          <w:rFonts w:ascii="Garamond" w:hAnsi="Garamond"/>
        </w:rPr>
        <w:t>Tufts Health Plan</w:t>
      </w:r>
    </w:p>
    <w:p w14:paraId="17930C41" w14:textId="77777777" w:rsidR="00D73639" w:rsidRPr="00D73639" w:rsidRDefault="00D73639" w:rsidP="00D73639">
      <w:pPr>
        <w:numPr>
          <w:ilvl w:val="0"/>
          <w:numId w:val="11"/>
        </w:numPr>
        <w:spacing w:after="0"/>
        <w:jc w:val="both"/>
        <w:rPr>
          <w:rFonts w:ascii="Garamond" w:hAnsi="Garamond"/>
        </w:rPr>
      </w:pPr>
      <w:r w:rsidRPr="00D73639">
        <w:rPr>
          <w:rFonts w:ascii="Garamond" w:hAnsi="Garamond"/>
        </w:rPr>
        <w:t>WellPoint (</w:t>
      </w:r>
      <w:r w:rsidR="00254417">
        <w:rPr>
          <w:rFonts w:ascii="Garamond" w:hAnsi="Garamond"/>
        </w:rPr>
        <w:t xml:space="preserve">formerly </w:t>
      </w:r>
      <w:proofErr w:type="spellStart"/>
      <w:r w:rsidRPr="00D73639">
        <w:rPr>
          <w:rFonts w:ascii="Garamond" w:hAnsi="Garamond"/>
        </w:rPr>
        <w:t>UniCare</w:t>
      </w:r>
      <w:proofErr w:type="spellEnd"/>
      <w:r w:rsidRPr="00D73639">
        <w:rPr>
          <w:rFonts w:ascii="Garamond" w:hAnsi="Garamond"/>
        </w:rPr>
        <w:t>)</w:t>
      </w:r>
    </w:p>
    <w:p w14:paraId="7F49CFEF" w14:textId="77777777" w:rsidR="00D73639" w:rsidRPr="00D73639" w:rsidRDefault="00D73639" w:rsidP="00D73639">
      <w:pPr>
        <w:jc w:val="both"/>
        <w:rPr>
          <w:rFonts w:ascii="Garamond" w:hAnsi="Garamond"/>
        </w:rPr>
      </w:pPr>
    </w:p>
    <w:p w14:paraId="4DBAF81D" w14:textId="77777777" w:rsidR="00D73639" w:rsidRPr="00D73639" w:rsidRDefault="00D73639" w:rsidP="00D73639">
      <w:pPr>
        <w:jc w:val="both"/>
        <w:rPr>
          <w:rFonts w:ascii="Garamond" w:hAnsi="Garamond"/>
        </w:rPr>
      </w:pPr>
      <w:r w:rsidRPr="00D73639">
        <w:rPr>
          <w:rFonts w:ascii="Garamond" w:hAnsi="Garamond"/>
        </w:rPr>
        <w:t xml:space="preserve">Payer data was provided in response to an Oliver Wyman data request (“2014 Annual Premiums Data Request”) that was reviewed by CHIA and forwarded to the participating payers.  This request provided detailed definitions and specifications for requested membership, premiums, claims, and other pricing data; it requested payers provide data on their commercial medical products for all group sizes, including the Individual and Small Group segments of the Merged Market.  Products that were specifically excluded from this study were:  Medicare Advantage, Commonwealth Care, Medicaid, Medicare supplement, Federal Employee Health Benefit Program (FEHBP), and non-medical (e.g., dental) lines of business. </w:t>
      </w:r>
    </w:p>
    <w:p w14:paraId="18CD46C8" w14:textId="77777777" w:rsidR="00D73639" w:rsidRPr="00D73639" w:rsidRDefault="00D73639" w:rsidP="00D73639">
      <w:pPr>
        <w:jc w:val="both"/>
        <w:rPr>
          <w:rFonts w:ascii="Garamond" w:hAnsi="Garamond"/>
        </w:rPr>
      </w:pPr>
      <w:r w:rsidRPr="00D73639">
        <w:rPr>
          <w:rFonts w:ascii="Garamond" w:hAnsi="Garamond"/>
        </w:rPr>
        <w:t xml:space="preserve">CHIA requested membership data from payers’ fully- and self-insured business, as contracted in Massachusetts.  Reported members may, however, reside inside or outside of Massachusetts; </w:t>
      </w:r>
      <w:proofErr w:type="gramStart"/>
      <w:r w:rsidRPr="00D73639">
        <w:rPr>
          <w:rFonts w:ascii="Garamond" w:hAnsi="Garamond"/>
        </w:rPr>
        <w:t>out-of-state members are most often covered by an employer that is located in Massachusetts</w:t>
      </w:r>
      <w:proofErr w:type="gramEnd"/>
      <w:r w:rsidRPr="00D73639">
        <w:rPr>
          <w:rFonts w:ascii="Garamond" w:hAnsi="Garamond"/>
        </w:rPr>
        <w:t>.  These out-of-state “contract” members were included in all sections of this report related to premium trends. Premium equivalent and claim information were not requested for self-funded business.</w:t>
      </w:r>
    </w:p>
    <w:p w14:paraId="16211CC2" w14:textId="77777777" w:rsidR="00D73639" w:rsidRPr="00D73639" w:rsidRDefault="00D73639" w:rsidP="00D73639">
      <w:pPr>
        <w:jc w:val="both"/>
        <w:rPr>
          <w:rFonts w:ascii="Garamond" w:hAnsi="Garamond"/>
        </w:rPr>
      </w:pPr>
      <w:r w:rsidRPr="00D73639">
        <w:rPr>
          <w:rFonts w:ascii="Garamond" w:hAnsi="Garamond"/>
        </w:rPr>
        <w:t>Payer-provided data were supplemented with reported financial data from the Supplemental Health Care Exhibit, CCIIO MLR Reporting,</w:t>
      </w:r>
      <w:r w:rsidRPr="00D73639">
        <w:rPr>
          <w:rFonts w:ascii="Garamond" w:hAnsi="Garamond"/>
          <w:vertAlign w:val="superscript"/>
        </w:rPr>
        <w:footnoteReference w:id="7"/>
      </w:r>
      <w:r w:rsidRPr="00D73639">
        <w:rPr>
          <w:rFonts w:ascii="Garamond" w:hAnsi="Garamond"/>
        </w:rPr>
        <w:t xml:space="preserve"> and the Massachusetts Annual Comprehensive Financial Statement.  These resources were also used in data validation.</w:t>
      </w:r>
      <w:r w:rsidRPr="00D73639">
        <w:rPr>
          <w:rFonts w:ascii="Garamond" w:hAnsi="Garamond"/>
          <w:vertAlign w:val="superscript"/>
        </w:rPr>
        <w:footnoteReference w:id="8"/>
      </w:r>
    </w:p>
    <w:p w14:paraId="0F58F780" w14:textId="77777777" w:rsidR="00D73639" w:rsidRPr="00D73639" w:rsidRDefault="00D73639" w:rsidP="00D73639">
      <w:pPr>
        <w:jc w:val="both"/>
        <w:rPr>
          <w:rFonts w:ascii="Garamond" w:hAnsi="Garamond"/>
        </w:rPr>
      </w:pPr>
      <w:r w:rsidRPr="00D73639">
        <w:rPr>
          <w:rFonts w:ascii="Garamond" w:hAnsi="Garamond"/>
        </w:rPr>
        <w:t xml:space="preserve">Payers provided their </w:t>
      </w:r>
      <w:proofErr w:type="gramStart"/>
      <w:r w:rsidRPr="00D73639">
        <w:rPr>
          <w:rFonts w:ascii="Garamond" w:hAnsi="Garamond"/>
        </w:rPr>
        <w:t>fully-insured</w:t>
      </w:r>
      <w:proofErr w:type="gramEnd"/>
      <w:r w:rsidRPr="00D73639">
        <w:rPr>
          <w:rFonts w:ascii="Garamond" w:hAnsi="Garamond"/>
        </w:rPr>
        <w:t xml:space="preserve"> annual premiums and claims by market sector, managed care type, and product type for 2011 through 2013.  Payers also provided their rating factors used in the fourth quarter 2013. Member month information by age, gender, area, group size (fully-insured only), market sector, managed care type, and product type was also provided for both fully-insured and self-insured. </w:t>
      </w:r>
    </w:p>
    <w:p w14:paraId="631BA5BE" w14:textId="77777777" w:rsidR="00D73639" w:rsidRPr="00D73639" w:rsidRDefault="00D73639" w:rsidP="00D73639">
      <w:pPr>
        <w:jc w:val="both"/>
        <w:rPr>
          <w:rFonts w:ascii="Garamond" w:hAnsi="Garamond"/>
        </w:rPr>
      </w:pPr>
      <w:r w:rsidRPr="00D73639">
        <w:rPr>
          <w:rFonts w:ascii="Garamond" w:hAnsi="Garamond"/>
        </w:rPr>
        <w:lastRenderedPageBreak/>
        <w:t xml:space="preserve">Using the annual premiums and aggregate annual member months, Oliver Wyman calculated unadjusted premiums PMPM.  </w:t>
      </w:r>
    </w:p>
    <w:p w14:paraId="36B2455D" w14:textId="77777777" w:rsidR="00D73639" w:rsidRPr="00D73639" w:rsidRDefault="00D73639" w:rsidP="00D73639">
      <w:pPr>
        <w:jc w:val="both"/>
        <w:rPr>
          <w:rFonts w:ascii="Garamond" w:hAnsi="Garamond"/>
        </w:rPr>
      </w:pPr>
      <w:r w:rsidRPr="00D73639">
        <w:rPr>
          <w:rFonts w:ascii="Garamond" w:hAnsi="Garamond"/>
        </w:rPr>
        <w:t xml:space="preserve">To calculate “adjusted premiums”, unadjusted premiums were recalculated to account for membership differences in age, gender, area, group size, and benefits.  Adjustments were performed by first adjusting the rating factors to make each payer’s factors relative to a common demographic.  Age/gender factors were relative to a </w:t>
      </w:r>
      <w:r w:rsidR="00743A2E" w:rsidRPr="00D73639">
        <w:rPr>
          <w:rFonts w:ascii="Garamond" w:hAnsi="Garamond"/>
        </w:rPr>
        <w:t>35</w:t>
      </w:r>
      <w:r w:rsidR="00743A2E">
        <w:rPr>
          <w:rFonts w:ascii="Garamond" w:hAnsi="Garamond"/>
        </w:rPr>
        <w:t>-</w:t>
      </w:r>
      <w:r w:rsidR="00743A2E" w:rsidRPr="00D73639">
        <w:rPr>
          <w:rFonts w:ascii="Garamond" w:hAnsi="Garamond"/>
        </w:rPr>
        <w:t>year</w:t>
      </w:r>
      <w:r w:rsidR="00743A2E">
        <w:rPr>
          <w:rFonts w:ascii="Garamond" w:hAnsi="Garamond"/>
        </w:rPr>
        <w:t>-</w:t>
      </w:r>
      <w:r w:rsidRPr="00D73639">
        <w:rPr>
          <w:rFonts w:ascii="Garamond" w:hAnsi="Garamond"/>
        </w:rPr>
        <w:t xml:space="preserve">old female, size factors were relative to a group of 51+ enrollees, and area factors were relative to Boston.  A member weighted average adjusted factor was calculated for each calendar year. Finally, the unadjusted premiums were divided by the average rating factors to develop expected premiums PMPM, adjusted to the demographics represented by a 1.0 factor. </w:t>
      </w:r>
    </w:p>
    <w:p w14:paraId="701BC45E" w14:textId="77777777" w:rsidR="00D73639" w:rsidRPr="00D73639" w:rsidRDefault="00D73639" w:rsidP="00D73639">
      <w:pPr>
        <w:jc w:val="both"/>
        <w:rPr>
          <w:rFonts w:ascii="Garamond" w:hAnsi="Garamond"/>
        </w:rPr>
      </w:pPr>
      <w:r w:rsidRPr="00D73639">
        <w:rPr>
          <w:rFonts w:ascii="Garamond" w:hAnsi="Garamond"/>
        </w:rPr>
        <w:t xml:space="preserve">It is possible that using the fourth quarter 2013 factors for all periods in the study had a slight impact on resulting adjusted premium trends.  However, it was determined that it was not feasible to request factors for each quarter. Furthermore, the factors are applied based upon effective date of issue or </w:t>
      </w:r>
      <w:proofErr w:type="gramStart"/>
      <w:r w:rsidRPr="00D73639">
        <w:rPr>
          <w:rFonts w:ascii="Garamond" w:hAnsi="Garamond"/>
        </w:rPr>
        <w:t>renewal which</w:t>
      </w:r>
      <w:proofErr w:type="gramEnd"/>
      <w:r w:rsidRPr="00D73639">
        <w:rPr>
          <w:rFonts w:ascii="Garamond" w:hAnsi="Garamond"/>
        </w:rPr>
        <w:t xml:space="preserve"> was not feasible to model in this analysis.  It is not anticipated to materially skew adjusted premium results.</w:t>
      </w:r>
    </w:p>
    <w:p w14:paraId="74494434" w14:textId="77777777" w:rsidR="00D73639" w:rsidRPr="00D73639" w:rsidRDefault="00D73639" w:rsidP="00D73639">
      <w:pPr>
        <w:jc w:val="both"/>
        <w:rPr>
          <w:rFonts w:ascii="Garamond" w:hAnsi="Garamond"/>
        </w:rPr>
      </w:pPr>
      <w:r w:rsidRPr="00D73639">
        <w:rPr>
          <w:rFonts w:ascii="Garamond" w:hAnsi="Garamond"/>
        </w:rPr>
        <w:t xml:space="preserve">Note that for this analysis, rating factors applied to Mid-Size, Large, and Jumbo groups reflected a premium based on a manual rate and not on the </w:t>
      </w:r>
      <w:proofErr w:type="gramStart"/>
      <w:r w:rsidRPr="00D73639">
        <w:rPr>
          <w:rFonts w:ascii="Garamond" w:hAnsi="Garamond"/>
        </w:rPr>
        <w:t>group’s</w:t>
      </w:r>
      <w:proofErr w:type="gramEnd"/>
      <w:r w:rsidRPr="00D73639">
        <w:rPr>
          <w:rFonts w:ascii="Garamond" w:hAnsi="Garamond"/>
        </w:rPr>
        <w:t xml:space="preserve"> own experience.  In the market, actual premiums would be based on a combination of the manual rate and an experience rate with the proportion of each depending on the group’s size.  The largest groups are typically rated based entirely on their own experience.  Therefore, this analysis makes the assumption that actual experience will follow the claim pattern assumed in the manual rating factors.  Actual premiums may differ.  This approach is not anticipated to have a material impact on results.  Rather, it is anticipated that the manual rate would be determined consistent with the overall average experience of the covered groups. </w:t>
      </w:r>
    </w:p>
    <w:p w14:paraId="39CA7B0C" w14:textId="77777777" w:rsidR="00D73639" w:rsidRPr="00D73639" w:rsidRDefault="00D73639" w:rsidP="00D73639">
      <w:pPr>
        <w:jc w:val="both"/>
        <w:rPr>
          <w:rFonts w:ascii="Garamond" w:hAnsi="Garamond"/>
        </w:rPr>
      </w:pPr>
      <w:r w:rsidRPr="00D73639">
        <w:rPr>
          <w:rFonts w:ascii="Garamond" w:hAnsi="Garamond"/>
        </w:rPr>
        <w:t xml:space="preserve">Adjusting the premiums for benefits required a separate analysis from the rating factor adjustments. Benefit levels are measured by Actuarial Values (AV), a measure of the proportion of expenditures covered by insurance versus patient </w:t>
      </w:r>
      <w:proofErr w:type="gramStart"/>
      <w:r w:rsidRPr="00D73639">
        <w:rPr>
          <w:rFonts w:ascii="Garamond" w:hAnsi="Garamond"/>
        </w:rPr>
        <w:t>cost-sharing</w:t>
      </w:r>
      <w:proofErr w:type="gramEnd"/>
      <w:r w:rsidRPr="00D73639">
        <w:rPr>
          <w:rFonts w:ascii="Garamond" w:hAnsi="Garamond"/>
        </w:rPr>
        <w:t>, which can be calculated by several different methods to produce similar results.  For the “adjusted premiums” analysis, Oliver Wyman’s proprietary pricing model was used to estimate the AVs.  To adjust for benefit levels, first, the detailed product descriptions provided for the Individual and Small group markets were priced using the proprietary pricing model, with results summarized by payer, market sector, and year, and compared to the ratio of paid claims to allowed claims based on the data provided by the payers. The model was calibrated using this comparison.  The calibrated pricing model was then used to estimate the AV of benefits based on a given reported paid</w:t>
      </w:r>
      <w:r w:rsidR="0046274F">
        <w:rPr>
          <w:rFonts w:ascii="Garamond" w:hAnsi="Garamond"/>
        </w:rPr>
        <w:t>-</w:t>
      </w:r>
      <w:r w:rsidRPr="00D73639">
        <w:rPr>
          <w:rFonts w:ascii="Garamond" w:hAnsi="Garamond"/>
        </w:rPr>
        <w:t>to</w:t>
      </w:r>
      <w:r w:rsidR="0046274F">
        <w:rPr>
          <w:rFonts w:ascii="Garamond" w:hAnsi="Garamond"/>
        </w:rPr>
        <w:t>-</w:t>
      </w:r>
      <w:r w:rsidRPr="00D73639">
        <w:rPr>
          <w:rFonts w:ascii="Garamond" w:hAnsi="Garamond"/>
        </w:rPr>
        <w:t>allowed claims ratio.  The unadjusted premiums were divided by the estimated AVs to determine the premiums adjusted for benefits.  An AV of 1.0 represented a plan where 100% of the claims’ costs are paid for by the plan.  Given the limitations of the data available, this analysis did not include limited network impact in the AV.</w:t>
      </w:r>
    </w:p>
    <w:p w14:paraId="27DF5473" w14:textId="77777777" w:rsidR="00D73639" w:rsidRPr="00D73639" w:rsidRDefault="00D73639" w:rsidP="00D73639">
      <w:pPr>
        <w:jc w:val="both"/>
        <w:rPr>
          <w:rFonts w:ascii="Garamond" w:hAnsi="Garamond"/>
        </w:rPr>
      </w:pPr>
      <w:r w:rsidRPr="00D73639">
        <w:rPr>
          <w:rFonts w:ascii="Garamond" w:hAnsi="Garamond"/>
        </w:rPr>
        <w:t>The “benefit level” calculation presented throughout the remainder of the Report represent actuarial values calibrated to the paid/allowed ratio for the total market in 2011.  This calculation method differs from CHIA’s 2013 Annual Report on the Massachusetts Health Care Market, though trends remain consistent.  This method has been used on previous years’ data to depict an overall market estimated 5-year trend, 2009-2013.  Market level AVs have also been normalized to 1.0 for display purposes.</w:t>
      </w:r>
    </w:p>
    <w:p w14:paraId="3DB7987E" w14:textId="77777777" w:rsidR="00D73639" w:rsidRPr="00D73639" w:rsidRDefault="003058EA" w:rsidP="00D073D7">
      <w:pPr>
        <w:spacing w:after="0"/>
        <w:jc w:val="both"/>
        <w:rPr>
          <w:rFonts w:ascii="Garamond" w:hAnsi="Garamond"/>
          <w:b/>
          <w:color w:val="4F81BD" w:themeColor="accent1"/>
          <w:sz w:val="28"/>
          <w:u w:val="single"/>
        </w:rPr>
      </w:pPr>
      <w:r w:rsidRPr="00D73639">
        <w:rPr>
          <w:rFonts w:ascii="Garamond" w:hAnsi="Garamond"/>
          <w:b/>
          <w:color w:val="4F81BD" w:themeColor="accent1"/>
          <w:sz w:val="28"/>
          <w:u w:val="single"/>
        </w:rPr>
        <w:t>Total Medical Expenses (TME)</w:t>
      </w:r>
      <w:r w:rsidR="00E509D1" w:rsidRPr="00D73639">
        <w:rPr>
          <w:rFonts w:ascii="Garamond" w:hAnsi="Garamond"/>
          <w:b/>
          <w:color w:val="4F81BD" w:themeColor="accent1"/>
          <w:sz w:val="28"/>
          <w:u w:val="single"/>
        </w:rPr>
        <w:t xml:space="preserve"> </w:t>
      </w:r>
    </w:p>
    <w:p w14:paraId="4761F603" w14:textId="77777777" w:rsidR="00613980" w:rsidRPr="00D73639" w:rsidRDefault="00E509D1" w:rsidP="00613980">
      <w:pPr>
        <w:jc w:val="both"/>
        <w:rPr>
          <w:rFonts w:ascii="Garamond" w:hAnsi="Garamond"/>
          <w:b/>
          <w:color w:val="4F81BD" w:themeColor="accent1"/>
          <w:u w:val="single"/>
        </w:rPr>
      </w:pPr>
      <w:r w:rsidRPr="00D73639">
        <w:rPr>
          <w:rFonts w:ascii="Garamond" w:hAnsi="Garamond"/>
        </w:rPr>
        <w:t>[</w:t>
      </w:r>
      <w:r w:rsidR="00D73639" w:rsidRPr="00D73639">
        <w:rPr>
          <w:rFonts w:ascii="Garamond" w:hAnsi="Garamond"/>
        </w:rPr>
        <w:t>Metric</w:t>
      </w:r>
      <w:r w:rsidRPr="00D73639">
        <w:rPr>
          <w:rFonts w:ascii="Garamond" w:hAnsi="Garamond"/>
        </w:rPr>
        <w:t xml:space="preserve"> related to </w:t>
      </w:r>
      <w:r w:rsidR="00C64E95">
        <w:rPr>
          <w:rFonts w:ascii="Garamond" w:hAnsi="Garamond"/>
        </w:rPr>
        <w:t>S</w:t>
      </w:r>
      <w:r w:rsidRPr="00D73639">
        <w:rPr>
          <w:rFonts w:ascii="Garamond" w:hAnsi="Garamond"/>
        </w:rPr>
        <w:t>upplements</w:t>
      </w:r>
      <w:r w:rsidR="00D073D7">
        <w:rPr>
          <w:rFonts w:ascii="Garamond" w:hAnsi="Garamond"/>
        </w:rPr>
        <w:t xml:space="preserve"> 4, 7,</w:t>
      </w:r>
      <w:r w:rsidR="0046274F">
        <w:rPr>
          <w:rFonts w:ascii="Garamond" w:hAnsi="Garamond"/>
        </w:rPr>
        <w:t xml:space="preserve"> </w:t>
      </w:r>
      <w:r w:rsidR="00D073D7">
        <w:rPr>
          <w:rFonts w:ascii="Garamond" w:hAnsi="Garamond"/>
        </w:rPr>
        <w:t xml:space="preserve">8, </w:t>
      </w:r>
      <w:proofErr w:type="gramStart"/>
      <w:r w:rsidR="00F07FE1" w:rsidRPr="00D73639">
        <w:rPr>
          <w:rFonts w:ascii="Garamond" w:hAnsi="Garamond"/>
        </w:rPr>
        <w:t>9</w:t>
      </w:r>
      <w:proofErr w:type="gramEnd"/>
      <w:r w:rsidRPr="00D73639">
        <w:rPr>
          <w:rFonts w:ascii="Garamond" w:hAnsi="Garamond"/>
        </w:rPr>
        <w:t>]</w:t>
      </w:r>
    </w:p>
    <w:p w14:paraId="14279B92" w14:textId="77777777" w:rsidR="00613980" w:rsidRPr="00D73639" w:rsidRDefault="00613980" w:rsidP="00AD262A">
      <w:pPr>
        <w:rPr>
          <w:rFonts w:ascii="Garamond" w:hAnsi="Garamond"/>
        </w:rPr>
      </w:pPr>
      <w:r w:rsidRPr="00D73639">
        <w:rPr>
          <w:rFonts w:ascii="Garamond" w:hAnsi="Garamond"/>
          <w:b/>
        </w:rPr>
        <w:t xml:space="preserve">Data Source: </w:t>
      </w:r>
      <w:r w:rsidR="007A012D" w:rsidRPr="00D73639">
        <w:rPr>
          <w:rFonts w:ascii="Garamond" w:hAnsi="Garamond"/>
        </w:rPr>
        <w:t xml:space="preserve">Collected </w:t>
      </w:r>
      <w:r w:rsidR="00C62DA7" w:rsidRPr="00D73639">
        <w:rPr>
          <w:rFonts w:ascii="Garamond" w:hAnsi="Garamond"/>
        </w:rPr>
        <w:t xml:space="preserve">annually </w:t>
      </w:r>
      <w:r w:rsidR="007A012D" w:rsidRPr="00D73639">
        <w:rPr>
          <w:rFonts w:ascii="Garamond" w:hAnsi="Garamond"/>
        </w:rPr>
        <w:t xml:space="preserve">by </w:t>
      </w:r>
      <w:r w:rsidR="00BF13CF" w:rsidRPr="00D73639">
        <w:rPr>
          <w:rFonts w:ascii="Garamond" w:hAnsi="Garamond"/>
        </w:rPr>
        <w:t>CHIA</w:t>
      </w:r>
      <w:r w:rsidR="004558E1" w:rsidRPr="00D73639">
        <w:rPr>
          <w:rFonts w:ascii="Garamond" w:hAnsi="Garamond"/>
        </w:rPr>
        <w:t xml:space="preserve"> </w:t>
      </w:r>
      <w:r w:rsidR="007A012D" w:rsidRPr="00D73639">
        <w:rPr>
          <w:rFonts w:ascii="Garamond" w:hAnsi="Garamond"/>
        </w:rPr>
        <w:t>pursuant to M.G.L. c. 12 C, secti</w:t>
      </w:r>
      <w:r w:rsidR="00304594" w:rsidRPr="00D73639">
        <w:rPr>
          <w:rFonts w:ascii="Garamond" w:hAnsi="Garamond"/>
        </w:rPr>
        <w:t>on 8, from both commercial and p</w:t>
      </w:r>
      <w:r w:rsidR="007A012D" w:rsidRPr="00D73639">
        <w:rPr>
          <w:rFonts w:ascii="Garamond" w:hAnsi="Garamond"/>
        </w:rPr>
        <w:t>ublic payers</w:t>
      </w:r>
      <w:r w:rsidR="00304594" w:rsidRPr="00D73639">
        <w:rPr>
          <w:rFonts w:ascii="Garamond" w:hAnsi="Garamond"/>
        </w:rPr>
        <w:t>.</w:t>
      </w:r>
      <w:r w:rsidR="007A012D" w:rsidRPr="00D73639">
        <w:rPr>
          <w:rFonts w:ascii="Garamond" w:hAnsi="Garamond"/>
        </w:rPr>
        <w:t xml:space="preserve"> </w:t>
      </w:r>
      <w:r w:rsidR="00A4798E" w:rsidRPr="00D73639">
        <w:rPr>
          <w:rFonts w:ascii="Garamond" w:hAnsi="Garamond"/>
        </w:rPr>
        <w:t xml:space="preserve">Please see Table </w:t>
      </w:r>
      <w:r w:rsidR="00057883" w:rsidRPr="00D73639">
        <w:rPr>
          <w:rFonts w:ascii="Garamond" w:hAnsi="Garamond"/>
        </w:rPr>
        <w:t>T</w:t>
      </w:r>
      <w:r w:rsidR="004558E1" w:rsidRPr="00D73639">
        <w:rPr>
          <w:rFonts w:ascii="Garamond" w:hAnsi="Garamond"/>
        </w:rPr>
        <w:t>A-</w:t>
      </w:r>
      <w:r w:rsidR="00057883" w:rsidRPr="00D73639">
        <w:rPr>
          <w:rFonts w:ascii="Garamond" w:hAnsi="Garamond"/>
        </w:rPr>
        <w:t>1</w:t>
      </w:r>
      <w:r w:rsidR="00A4798E" w:rsidRPr="00D73639">
        <w:rPr>
          <w:rFonts w:ascii="Garamond" w:hAnsi="Garamond"/>
        </w:rPr>
        <w:t xml:space="preserve"> for a list of payers and reported data. </w:t>
      </w:r>
    </w:p>
    <w:p w14:paraId="4E87F8A5" w14:textId="77777777" w:rsidR="00C62DA7" w:rsidRPr="00D73639" w:rsidRDefault="00C62DA7" w:rsidP="00AD262A">
      <w:pPr>
        <w:rPr>
          <w:rFonts w:ascii="Garamond" w:hAnsi="Garamond"/>
        </w:rPr>
      </w:pPr>
      <w:r w:rsidRPr="00D73639">
        <w:rPr>
          <w:rFonts w:ascii="Garamond" w:hAnsi="Garamond"/>
          <w:b/>
        </w:rPr>
        <w:lastRenderedPageBreak/>
        <w:t>Data Year:</w:t>
      </w:r>
      <w:r w:rsidRPr="00D73639">
        <w:rPr>
          <w:rFonts w:ascii="Garamond" w:hAnsi="Garamond"/>
        </w:rPr>
        <w:t xml:space="preserve"> </w:t>
      </w:r>
      <w:r w:rsidR="00304594" w:rsidRPr="00D73639">
        <w:rPr>
          <w:rFonts w:ascii="Garamond" w:hAnsi="Garamond"/>
        </w:rPr>
        <w:t>CYs 2012 and 2013</w:t>
      </w:r>
    </w:p>
    <w:p w14:paraId="515AAC28" w14:textId="77777777" w:rsidR="007E4210" w:rsidRPr="00D73639" w:rsidRDefault="00407EE5" w:rsidP="00AD262A">
      <w:pPr>
        <w:spacing w:after="0"/>
        <w:rPr>
          <w:rFonts w:ascii="Garamond" w:hAnsi="Garamond"/>
        </w:rPr>
      </w:pPr>
      <w:r w:rsidRPr="00D73639">
        <w:rPr>
          <w:rFonts w:ascii="Garamond" w:hAnsi="Garamond"/>
          <w:b/>
        </w:rPr>
        <w:t>Definition</w:t>
      </w:r>
      <w:r w:rsidR="00994B8F" w:rsidRPr="00D73639">
        <w:rPr>
          <w:rFonts w:ascii="Garamond" w:hAnsi="Garamond"/>
          <w:b/>
        </w:rPr>
        <w:t>s</w:t>
      </w:r>
      <w:r w:rsidRPr="00D73639">
        <w:rPr>
          <w:rFonts w:ascii="Garamond" w:hAnsi="Garamond"/>
          <w:b/>
        </w:rPr>
        <w:t xml:space="preserve">: </w:t>
      </w:r>
      <w:r w:rsidR="007A012D" w:rsidRPr="00D73639">
        <w:rPr>
          <w:rFonts w:ascii="Garamond" w:hAnsi="Garamond"/>
        </w:rPr>
        <w:t>TME is defined as the total medical</w:t>
      </w:r>
      <w:r w:rsidR="00AD262A" w:rsidRPr="00D73639">
        <w:rPr>
          <w:rFonts w:ascii="Garamond" w:hAnsi="Garamond"/>
        </w:rPr>
        <w:t xml:space="preserve"> spending</w:t>
      </w:r>
      <w:r w:rsidR="007A012D" w:rsidRPr="00D73639">
        <w:rPr>
          <w:rFonts w:ascii="Garamond" w:hAnsi="Garamond"/>
        </w:rPr>
        <w:t xml:space="preserve"> for a member population based on allowed claims for all categories of medical expenses and all non-claims related payments to providers. TME is expressed on a PMPM basis. </w:t>
      </w:r>
    </w:p>
    <w:p w14:paraId="1E8B48AF" w14:textId="77777777" w:rsidR="00230A77" w:rsidRPr="00D73639" w:rsidRDefault="00230A77" w:rsidP="00230A77">
      <w:pPr>
        <w:spacing w:after="0"/>
        <w:ind w:left="720"/>
        <w:rPr>
          <w:rFonts w:ascii="Garamond" w:hAnsi="Garamond"/>
        </w:rPr>
      </w:pPr>
      <w:r w:rsidRPr="00D73639">
        <w:rPr>
          <w:rFonts w:ascii="Garamond" w:hAnsi="Garamond"/>
          <w:b/>
        </w:rPr>
        <w:tab/>
      </w:r>
    </w:p>
    <w:p w14:paraId="6070265B" w14:textId="77777777" w:rsidR="00AD262A" w:rsidRPr="00D73639" w:rsidRDefault="00AD262A" w:rsidP="006A5112">
      <w:pPr>
        <w:pStyle w:val="ListParagraph"/>
        <w:numPr>
          <w:ilvl w:val="0"/>
          <w:numId w:val="2"/>
        </w:numPr>
        <w:rPr>
          <w:rFonts w:ascii="Garamond" w:hAnsi="Garamond"/>
        </w:rPr>
      </w:pPr>
      <w:r w:rsidRPr="00D73639">
        <w:rPr>
          <w:rFonts w:ascii="Garamond" w:hAnsi="Garamond"/>
          <w:u w:val="single"/>
        </w:rPr>
        <w:t>Member zip code TME</w:t>
      </w:r>
      <w:r w:rsidRPr="00D73639">
        <w:rPr>
          <w:rFonts w:ascii="Garamond" w:hAnsi="Garamond"/>
        </w:rPr>
        <w:t xml:space="preserve"> measures the total health care spending of each Massachusetts zip code, based on member residence, rather than where members received services. Zip codes are self-reported by members, which may lead to certain inaccuracies, particularly in areas with high student or other transient populations.</w:t>
      </w:r>
    </w:p>
    <w:p w14:paraId="497C6785" w14:textId="77777777" w:rsidR="00AD262A" w:rsidRPr="00D73639" w:rsidRDefault="00AD262A" w:rsidP="006A5112">
      <w:pPr>
        <w:ind w:left="720"/>
        <w:rPr>
          <w:rFonts w:ascii="Garamond" w:hAnsi="Garamond"/>
        </w:rPr>
      </w:pPr>
      <w:r w:rsidRPr="00D73639">
        <w:rPr>
          <w:rFonts w:ascii="Garamond" w:hAnsi="Garamond"/>
        </w:rPr>
        <w:t>TME can be measured on an unadjusted basis, which reflects actual spending but does not consider differences among member populations. TME may also be adjusted to reflect differences in member demographics and health status such as age, gender, and clinical profile. This report presents both unadjusted and health</w:t>
      </w:r>
      <w:r w:rsidR="008447B3">
        <w:rPr>
          <w:rFonts w:ascii="Garamond" w:hAnsi="Garamond"/>
        </w:rPr>
        <w:t>-</w:t>
      </w:r>
      <w:r w:rsidRPr="00D73639">
        <w:rPr>
          <w:rFonts w:ascii="Garamond" w:hAnsi="Garamond"/>
        </w:rPr>
        <w:t xml:space="preserve">status adjusted </w:t>
      </w:r>
      <w:r w:rsidR="008447B3">
        <w:rPr>
          <w:rFonts w:ascii="Garamond" w:hAnsi="Garamond"/>
        </w:rPr>
        <w:t xml:space="preserve">(H.S.A.) </w:t>
      </w:r>
      <w:r w:rsidRPr="00D73639">
        <w:rPr>
          <w:rFonts w:ascii="Garamond" w:hAnsi="Garamond"/>
        </w:rPr>
        <w:t xml:space="preserve">TME data. </w:t>
      </w:r>
    </w:p>
    <w:p w14:paraId="449C39D3" w14:textId="77777777" w:rsidR="00AD262A" w:rsidRPr="00D73639" w:rsidRDefault="00AD262A" w:rsidP="006A5112">
      <w:pPr>
        <w:pStyle w:val="ListParagraph"/>
        <w:numPr>
          <w:ilvl w:val="0"/>
          <w:numId w:val="2"/>
        </w:numPr>
        <w:rPr>
          <w:rFonts w:ascii="Garamond" w:hAnsi="Garamond"/>
        </w:rPr>
      </w:pPr>
      <w:r w:rsidRPr="00D73639">
        <w:rPr>
          <w:rFonts w:ascii="Garamond" w:hAnsi="Garamond"/>
          <w:u w:val="single"/>
        </w:rPr>
        <w:t>Unadjusted TME</w:t>
      </w:r>
      <w:r w:rsidRPr="00D73639">
        <w:rPr>
          <w:rFonts w:ascii="Garamond" w:hAnsi="Garamond"/>
        </w:rPr>
        <w:t xml:space="preserve"> is </w:t>
      </w:r>
      <w:r w:rsidR="00B01C45" w:rsidRPr="00D73639">
        <w:rPr>
          <w:rFonts w:ascii="Garamond" w:hAnsi="Garamond"/>
        </w:rPr>
        <w:t xml:space="preserve">the actual payments from a commercial payer and its members to health care providers.  Unadjusted TME is </w:t>
      </w:r>
      <w:r w:rsidRPr="00D73639">
        <w:rPr>
          <w:rFonts w:ascii="Garamond" w:hAnsi="Garamond"/>
        </w:rPr>
        <w:t xml:space="preserve">presented for aggregated analyses across payers, such as statewide and regional analyses. Unadjusted TME </w:t>
      </w:r>
      <w:r w:rsidR="004558E1" w:rsidRPr="00D73639">
        <w:rPr>
          <w:rFonts w:ascii="Garamond" w:hAnsi="Garamond"/>
        </w:rPr>
        <w:t>i</w:t>
      </w:r>
      <w:r w:rsidRPr="00D73639">
        <w:rPr>
          <w:rFonts w:ascii="Garamond" w:hAnsi="Garamond"/>
        </w:rPr>
        <w:t xml:space="preserve">s used for such purposes since payers in these analyses utilized different methods in adjusting for health status, and </w:t>
      </w:r>
      <w:r w:rsidR="008447B3">
        <w:rPr>
          <w:rFonts w:ascii="Garamond" w:hAnsi="Garamond"/>
        </w:rPr>
        <w:t>H.S.A.</w:t>
      </w:r>
      <w:r w:rsidRPr="00D73639">
        <w:rPr>
          <w:rFonts w:ascii="Garamond" w:hAnsi="Garamond"/>
        </w:rPr>
        <w:t xml:space="preserve"> TME results calculated from different health status adjustment methods cannot be directly compared. </w:t>
      </w:r>
    </w:p>
    <w:p w14:paraId="38632BB2" w14:textId="77777777" w:rsidR="006A5112" w:rsidRPr="00D73639" w:rsidRDefault="006A5112" w:rsidP="006A5112">
      <w:pPr>
        <w:pStyle w:val="ListParagraph"/>
        <w:rPr>
          <w:rFonts w:ascii="Garamond" w:hAnsi="Garamond"/>
        </w:rPr>
      </w:pPr>
    </w:p>
    <w:p w14:paraId="4F900F8C" w14:textId="77777777" w:rsidR="007E5AFA" w:rsidRPr="00D73639" w:rsidRDefault="00AD262A" w:rsidP="0096417F">
      <w:pPr>
        <w:pStyle w:val="ListParagraph"/>
        <w:numPr>
          <w:ilvl w:val="0"/>
          <w:numId w:val="2"/>
        </w:numPr>
        <w:rPr>
          <w:rFonts w:ascii="Garamond" w:hAnsi="Garamond"/>
        </w:rPr>
      </w:pPr>
      <w:r w:rsidRPr="00D73639">
        <w:rPr>
          <w:rFonts w:ascii="Garamond" w:hAnsi="Garamond"/>
          <w:u w:val="single"/>
        </w:rPr>
        <w:t>Health</w:t>
      </w:r>
      <w:r w:rsidR="00EA4DBF">
        <w:rPr>
          <w:rFonts w:ascii="Garamond" w:hAnsi="Garamond"/>
          <w:u w:val="single"/>
        </w:rPr>
        <w:t>-S</w:t>
      </w:r>
      <w:r w:rsidRPr="00D73639">
        <w:rPr>
          <w:rFonts w:ascii="Garamond" w:hAnsi="Garamond"/>
          <w:u w:val="single"/>
        </w:rPr>
        <w:t xml:space="preserve">tatus </w:t>
      </w:r>
      <w:r w:rsidR="00EA4DBF">
        <w:rPr>
          <w:rFonts w:ascii="Garamond" w:hAnsi="Garamond"/>
          <w:u w:val="single"/>
        </w:rPr>
        <w:t>A</w:t>
      </w:r>
      <w:r w:rsidRPr="00D73639">
        <w:rPr>
          <w:rFonts w:ascii="Garamond" w:hAnsi="Garamond"/>
          <w:u w:val="single"/>
        </w:rPr>
        <w:t>djusted TME</w:t>
      </w:r>
      <w:r w:rsidR="0096417F" w:rsidRPr="00D73639">
        <w:rPr>
          <w:rFonts w:ascii="Garamond" w:hAnsi="Garamond"/>
          <w:u w:val="single"/>
        </w:rPr>
        <w:t xml:space="preserve"> </w:t>
      </w:r>
      <w:r w:rsidR="0096417F" w:rsidRPr="00D73639">
        <w:rPr>
          <w:rFonts w:ascii="Garamond" w:hAnsi="Garamond"/>
        </w:rPr>
        <w:t xml:space="preserve">is the total health care spending for the member population of a payer’s membership based on allowed claims for all categories of medical expenses and all non-claims related payments to health care providers, adjusted by health status, and expressed on a </w:t>
      </w:r>
      <w:r w:rsidR="004558E1" w:rsidRPr="00D73639">
        <w:rPr>
          <w:rFonts w:ascii="Garamond" w:hAnsi="Garamond"/>
        </w:rPr>
        <w:t>PMPM</w:t>
      </w:r>
      <w:r w:rsidR="00A4798E" w:rsidRPr="00D73639">
        <w:rPr>
          <w:rFonts w:ascii="Garamond" w:hAnsi="Garamond"/>
        </w:rPr>
        <w:t xml:space="preserve"> </w:t>
      </w:r>
      <w:r w:rsidR="0096417F" w:rsidRPr="00D73639">
        <w:rPr>
          <w:rFonts w:ascii="Garamond" w:hAnsi="Garamond"/>
        </w:rPr>
        <w:t>basis. H.S.A</w:t>
      </w:r>
      <w:r w:rsidR="00E47538">
        <w:rPr>
          <w:rFonts w:ascii="Garamond" w:hAnsi="Garamond"/>
        </w:rPr>
        <w:t>.</w:t>
      </w:r>
      <w:r w:rsidR="0096417F" w:rsidRPr="00D73639">
        <w:rPr>
          <w:rFonts w:ascii="Garamond" w:hAnsi="Garamond"/>
        </w:rPr>
        <w:t xml:space="preserve"> TME </w:t>
      </w:r>
      <w:r w:rsidRPr="00D73639">
        <w:rPr>
          <w:rFonts w:ascii="Garamond" w:hAnsi="Garamond"/>
        </w:rPr>
        <w:t xml:space="preserve">is analyzed in order to </w:t>
      </w:r>
      <w:r w:rsidR="0096417F" w:rsidRPr="00D73639">
        <w:rPr>
          <w:rFonts w:ascii="Garamond" w:hAnsi="Garamond"/>
        </w:rPr>
        <w:t xml:space="preserve">examine the payer-specific TME growth rate </w:t>
      </w:r>
      <w:r w:rsidR="00B01C45" w:rsidRPr="00D73639">
        <w:rPr>
          <w:rFonts w:ascii="Garamond" w:hAnsi="Garamond"/>
        </w:rPr>
        <w:t>for their</w:t>
      </w:r>
      <w:r w:rsidR="0096417F" w:rsidRPr="00D73639">
        <w:rPr>
          <w:rFonts w:ascii="Garamond" w:hAnsi="Garamond"/>
        </w:rPr>
        <w:t xml:space="preserve"> member populations. </w:t>
      </w:r>
      <w:r w:rsidR="001763B4" w:rsidRPr="00D73639">
        <w:rPr>
          <w:rFonts w:ascii="Garamond" w:hAnsi="Garamond"/>
        </w:rPr>
        <w:t xml:space="preserve">This ensures </w:t>
      </w:r>
      <w:proofErr w:type="gramStart"/>
      <w:r w:rsidR="001763B4" w:rsidRPr="00D73639">
        <w:rPr>
          <w:rFonts w:ascii="Garamond" w:hAnsi="Garamond"/>
        </w:rPr>
        <w:t xml:space="preserve">that </w:t>
      </w:r>
      <w:r w:rsidR="0096417F" w:rsidRPr="00D73639">
        <w:rPr>
          <w:rFonts w:ascii="Garamond" w:hAnsi="Garamond"/>
        </w:rPr>
        <w:t xml:space="preserve">each payer’s TME </w:t>
      </w:r>
      <w:r w:rsidR="001763B4" w:rsidRPr="00D73639">
        <w:rPr>
          <w:rFonts w:ascii="Garamond" w:hAnsi="Garamond"/>
        </w:rPr>
        <w:t>account</w:t>
      </w:r>
      <w:r w:rsidR="0096417F" w:rsidRPr="00D73639">
        <w:rPr>
          <w:rFonts w:ascii="Garamond" w:hAnsi="Garamond"/>
        </w:rPr>
        <w:t>s</w:t>
      </w:r>
      <w:r w:rsidR="001763B4" w:rsidRPr="00D73639">
        <w:rPr>
          <w:rFonts w:ascii="Garamond" w:hAnsi="Garamond"/>
        </w:rPr>
        <w:t xml:space="preserve"> for the health status </w:t>
      </w:r>
      <w:r w:rsidR="0096417F" w:rsidRPr="00D73639">
        <w:rPr>
          <w:rFonts w:ascii="Garamond" w:hAnsi="Garamond"/>
        </w:rPr>
        <w:t xml:space="preserve">and resource utilization </w:t>
      </w:r>
      <w:r w:rsidR="001763B4" w:rsidRPr="00D73639">
        <w:rPr>
          <w:rFonts w:ascii="Garamond" w:hAnsi="Garamond"/>
        </w:rPr>
        <w:t>of their</w:t>
      </w:r>
      <w:proofErr w:type="gramEnd"/>
      <w:r w:rsidR="001763B4" w:rsidRPr="00D73639">
        <w:rPr>
          <w:rFonts w:ascii="Garamond" w:hAnsi="Garamond"/>
        </w:rPr>
        <w:t xml:space="preserve"> member populations</w:t>
      </w:r>
      <w:r w:rsidR="0096417F" w:rsidRPr="00D73639">
        <w:rPr>
          <w:rFonts w:ascii="Garamond" w:hAnsi="Garamond"/>
        </w:rPr>
        <w:t xml:space="preserve"> when comparing a payer’s TME growth rate to the health care cost growth benchmark</w:t>
      </w:r>
      <w:r w:rsidR="001763B4" w:rsidRPr="00D73639">
        <w:rPr>
          <w:rFonts w:ascii="Garamond" w:hAnsi="Garamond"/>
        </w:rPr>
        <w:t>.</w:t>
      </w:r>
    </w:p>
    <w:p w14:paraId="64B15D6D" w14:textId="77777777" w:rsidR="007E5AFA" w:rsidRPr="00D73639" w:rsidRDefault="007E5AFA" w:rsidP="007E5AFA">
      <w:pPr>
        <w:pStyle w:val="ListParagraph"/>
        <w:rPr>
          <w:rFonts w:ascii="Garamond" w:hAnsi="Garamond"/>
        </w:rPr>
      </w:pPr>
    </w:p>
    <w:p w14:paraId="035A0A33" w14:textId="77777777" w:rsidR="00AD262A" w:rsidRPr="00D73639" w:rsidRDefault="007E5AFA" w:rsidP="007E5AFA">
      <w:pPr>
        <w:pStyle w:val="ListParagraph"/>
        <w:numPr>
          <w:ilvl w:val="0"/>
          <w:numId w:val="2"/>
        </w:numPr>
        <w:rPr>
          <w:rFonts w:ascii="Garamond" w:hAnsi="Garamond"/>
        </w:rPr>
      </w:pPr>
      <w:r w:rsidRPr="00D73639">
        <w:rPr>
          <w:rFonts w:ascii="Garamond" w:hAnsi="Garamond"/>
          <w:u w:val="single"/>
        </w:rPr>
        <w:t>Health</w:t>
      </w:r>
      <w:r w:rsidR="00EA4DBF">
        <w:rPr>
          <w:rFonts w:ascii="Garamond" w:hAnsi="Garamond"/>
          <w:u w:val="single"/>
        </w:rPr>
        <w:t>-S</w:t>
      </w:r>
      <w:r w:rsidRPr="00D73639">
        <w:rPr>
          <w:rFonts w:ascii="Garamond" w:hAnsi="Garamond"/>
          <w:u w:val="single"/>
        </w:rPr>
        <w:t xml:space="preserve">tatus </w:t>
      </w:r>
      <w:r w:rsidR="00EA4DBF">
        <w:rPr>
          <w:rFonts w:ascii="Garamond" w:hAnsi="Garamond"/>
          <w:u w:val="single"/>
        </w:rPr>
        <w:t>A</w:t>
      </w:r>
      <w:r w:rsidRPr="00D73639">
        <w:rPr>
          <w:rFonts w:ascii="Garamond" w:hAnsi="Garamond"/>
          <w:u w:val="single"/>
        </w:rPr>
        <w:t>djustment score</w:t>
      </w:r>
      <w:r w:rsidRPr="00D73639">
        <w:rPr>
          <w:rFonts w:ascii="Garamond" w:hAnsi="Garamond"/>
        </w:rPr>
        <w:t xml:space="preserve"> is a value that measures a member’s illness burden and predicted resource use based on differences in member characteristics or other risk factors.</w:t>
      </w:r>
    </w:p>
    <w:p w14:paraId="3045F3B6" w14:textId="77777777" w:rsidR="00407EE5" w:rsidRPr="00D73639" w:rsidRDefault="00407EE5" w:rsidP="00407EE5">
      <w:pPr>
        <w:pStyle w:val="ListParagraph"/>
        <w:spacing w:after="0"/>
        <w:rPr>
          <w:rFonts w:ascii="Garamond" w:hAnsi="Garamond"/>
        </w:rPr>
      </w:pPr>
    </w:p>
    <w:p w14:paraId="06A354E7" w14:textId="77777777" w:rsidR="00407EE5" w:rsidRPr="00D73639" w:rsidRDefault="00407EE5" w:rsidP="00407EE5">
      <w:pPr>
        <w:pStyle w:val="ListParagraph"/>
        <w:numPr>
          <w:ilvl w:val="0"/>
          <w:numId w:val="4"/>
        </w:numPr>
        <w:spacing w:after="0"/>
        <w:rPr>
          <w:rFonts w:ascii="Garamond" w:hAnsi="Garamond"/>
        </w:rPr>
      </w:pPr>
      <w:r w:rsidRPr="00D73639">
        <w:rPr>
          <w:rFonts w:ascii="Garamond" w:hAnsi="Garamond"/>
          <w:u w:val="single"/>
        </w:rPr>
        <w:t xml:space="preserve">Commercial </w:t>
      </w:r>
      <w:r w:rsidR="00EA4DBF" w:rsidRPr="00D73639">
        <w:rPr>
          <w:rFonts w:ascii="Garamond" w:hAnsi="Garamond"/>
          <w:u w:val="single"/>
        </w:rPr>
        <w:t>full</w:t>
      </w:r>
      <w:r w:rsidR="00EA4DBF">
        <w:rPr>
          <w:rFonts w:ascii="Garamond" w:hAnsi="Garamond"/>
          <w:u w:val="single"/>
        </w:rPr>
        <w:t>-</w:t>
      </w:r>
      <w:r w:rsidRPr="00D73639">
        <w:rPr>
          <w:rFonts w:ascii="Garamond" w:hAnsi="Garamond"/>
          <w:u w:val="single"/>
        </w:rPr>
        <w:t xml:space="preserve">claims </w:t>
      </w:r>
      <w:r w:rsidRPr="00D73639">
        <w:rPr>
          <w:rFonts w:ascii="Garamond" w:hAnsi="Garamond"/>
        </w:rPr>
        <w:t>data include</w:t>
      </w:r>
      <w:r w:rsidR="004558E1" w:rsidRPr="00D73639">
        <w:rPr>
          <w:rFonts w:ascii="Garamond" w:hAnsi="Garamond"/>
        </w:rPr>
        <w:t>s</w:t>
      </w:r>
      <w:r w:rsidRPr="00D73639">
        <w:rPr>
          <w:rFonts w:ascii="Garamond" w:hAnsi="Garamond"/>
        </w:rPr>
        <w:t xml:space="preserve"> both self- and fully-insured commercial business for which claims for all medical services were available to the reporting payer. The data capture</w:t>
      </w:r>
      <w:r w:rsidR="004558E1" w:rsidRPr="00D73639">
        <w:rPr>
          <w:rFonts w:ascii="Garamond" w:hAnsi="Garamond"/>
        </w:rPr>
        <w:t>s</w:t>
      </w:r>
      <w:r w:rsidRPr="00D73639">
        <w:rPr>
          <w:rFonts w:ascii="Garamond" w:hAnsi="Garamond"/>
        </w:rPr>
        <w:t xml:space="preserve"> complete medical spending and </w:t>
      </w:r>
      <w:r w:rsidR="004558E1" w:rsidRPr="00D73639">
        <w:rPr>
          <w:rFonts w:ascii="Garamond" w:hAnsi="Garamond"/>
        </w:rPr>
        <w:t>i</w:t>
      </w:r>
      <w:r w:rsidRPr="00D73639">
        <w:rPr>
          <w:rFonts w:ascii="Garamond" w:hAnsi="Garamond"/>
        </w:rPr>
        <w:t xml:space="preserve">s used to calculate commercial TME. </w:t>
      </w:r>
    </w:p>
    <w:p w14:paraId="42FCD5D8" w14:textId="77777777" w:rsidR="00407EE5" w:rsidRPr="00D73639" w:rsidRDefault="00407EE5" w:rsidP="00407EE5">
      <w:pPr>
        <w:pStyle w:val="ListParagraph"/>
        <w:spacing w:after="0"/>
        <w:rPr>
          <w:rFonts w:ascii="Garamond" w:hAnsi="Garamond"/>
        </w:rPr>
      </w:pPr>
    </w:p>
    <w:p w14:paraId="78A49496" w14:textId="77777777" w:rsidR="00407EE5" w:rsidRPr="00D73639" w:rsidRDefault="00407EE5" w:rsidP="00407EE5">
      <w:pPr>
        <w:pStyle w:val="ListParagraph"/>
        <w:numPr>
          <w:ilvl w:val="0"/>
          <w:numId w:val="4"/>
        </w:numPr>
        <w:spacing w:after="0"/>
        <w:rPr>
          <w:rFonts w:ascii="Garamond" w:hAnsi="Garamond"/>
        </w:rPr>
      </w:pPr>
      <w:r w:rsidRPr="00D73639">
        <w:rPr>
          <w:rFonts w:ascii="Garamond" w:hAnsi="Garamond"/>
          <w:u w:val="single"/>
        </w:rPr>
        <w:t>Commercial partial</w:t>
      </w:r>
      <w:r w:rsidR="00EA4DBF">
        <w:rPr>
          <w:rFonts w:ascii="Garamond" w:hAnsi="Garamond"/>
          <w:u w:val="single"/>
        </w:rPr>
        <w:t>-</w:t>
      </w:r>
      <w:r w:rsidRPr="00D73639">
        <w:rPr>
          <w:rFonts w:ascii="Garamond" w:hAnsi="Garamond"/>
          <w:u w:val="single"/>
        </w:rPr>
        <w:t>claims</w:t>
      </w:r>
      <w:r w:rsidRPr="00D73639">
        <w:rPr>
          <w:rFonts w:ascii="Garamond" w:hAnsi="Garamond"/>
        </w:rPr>
        <w:t xml:space="preserve"> data include</w:t>
      </w:r>
      <w:r w:rsidR="004558E1" w:rsidRPr="00D73639">
        <w:rPr>
          <w:rFonts w:ascii="Garamond" w:hAnsi="Garamond"/>
        </w:rPr>
        <w:t>s</w:t>
      </w:r>
      <w:r w:rsidRPr="00D73639">
        <w:rPr>
          <w:rFonts w:ascii="Garamond" w:hAnsi="Garamond"/>
        </w:rPr>
        <w:t xml:space="preserve"> self- and fully-insured commercial business where the employer separately contracts for one or more specialized services, such as pharmacy or behavioral health service management. In these cases, the reporting payer does not have access to the claims for the separately contracted services. As the full range of medical expenses is not included in the data reported by the payers, these partial</w:t>
      </w:r>
      <w:r w:rsidR="00EA4DBF">
        <w:rPr>
          <w:rFonts w:ascii="Garamond" w:hAnsi="Garamond"/>
        </w:rPr>
        <w:t>-</w:t>
      </w:r>
      <w:r w:rsidRPr="00D73639">
        <w:rPr>
          <w:rFonts w:ascii="Garamond" w:hAnsi="Garamond"/>
        </w:rPr>
        <w:t xml:space="preserve">claims are not included in the TME analyses contained in this report. </w:t>
      </w:r>
    </w:p>
    <w:p w14:paraId="5CE52584" w14:textId="77777777" w:rsidR="00407EE5" w:rsidRPr="00D73639" w:rsidRDefault="00407EE5" w:rsidP="00407EE5">
      <w:pPr>
        <w:spacing w:after="0"/>
        <w:rPr>
          <w:rFonts w:ascii="Garamond" w:hAnsi="Garamond"/>
        </w:rPr>
      </w:pPr>
    </w:p>
    <w:p w14:paraId="5DDD2FDD" w14:textId="77777777" w:rsidR="00407EE5" w:rsidRPr="00D73639" w:rsidRDefault="00407EE5" w:rsidP="00407EE5">
      <w:pPr>
        <w:spacing w:after="0"/>
        <w:rPr>
          <w:rFonts w:ascii="Garamond" w:hAnsi="Garamond"/>
        </w:rPr>
      </w:pPr>
      <w:r w:rsidRPr="00D73639">
        <w:rPr>
          <w:rFonts w:ascii="Garamond" w:hAnsi="Garamond"/>
        </w:rPr>
        <w:t>The 2012 data</w:t>
      </w:r>
      <w:r w:rsidR="004558E1" w:rsidRPr="00D73639">
        <w:rPr>
          <w:rFonts w:ascii="Garamond" w:hAnsi="Garamond"/>
        </w:rPr>
        <w:t xml:space="preserve"> is</w:t>
      </w:r>
      <w:r w:rsidRPr="00D73639">
        <w:rPr>
          <w:rFonts w:ascii="Garamond" w:hAnsi="Garamond"/>
        </w:rPr>
        <w:t xml:space="preserve"> </w:t>
      </w:r>
      <w:r w:rsidR="007C35B4" w:rsidRPr="00D73639">
        <w:rPr>
          <w:rFonts w:ascii="Garamond" w:hAnsi="Garamond"/>
        </w:rPr>
        <w:t>considered final TME,</w:t>
      </w:r>
      <w:r w:rsidRPr="00D73639">
        <w:rPr>
          <w:rFonts w:ascii="Garamond" w:hAnsi="Garamond"/>
        </w:rPr>
        <w:t xml:space="preserve"> with at least </w:t>
      </w:r>
      <w:r w:rsidR="00E66842" w:rsidRPr="00D73639">
        <w:rPr>
          <w:rFonts w:ascii="Garamond" w:hAnsi="Garamond"/>
        </w:rPr>
        <w:t xml:space="preserve">14 </w:t>
      </w:r>
      <w:r w:rsidRPr="00D73639">
        <w:rPr>
          <w:rFonts w:ascii="Garamond" w:hAnsi="Garamond"/>
        </w:rPr>
        <w:t>months of claims run-out period. The reported 2013 TME data</w:t>
      </w:r>
      <w:r w:rsidR="00304594" w:rsidRPr="00D73639">
        <w:rPr>
          <w:rFonts w:ascii="Garamond" w:hAnsi="Garamond"/>
        </w:rPr>
        <w:t xml:space="preserve"> is considered preliminary and </w:t>
      </w:r>
      <w:r w:rsidRPr="00D73639">
        <w:rPr>
          <w:rFonts w:ascii="Garamond" w:hAnsi="Garamond"/>
        </w:rPr>
        <w:t xml:space="preserve">includes paid claims available to the payers at the time for the May 2014 submission. However, claims continued to be paid throughout 2014 for services rendered in 2013. In order to report </w:t>
      </w:r>
      <w:r w:rsidR="004558E1" w:rsidRPr="00D73639">
        <w:rPr>
          <w:rFonts w:ascii="Garamond" w:hAnsi="Garamond"/>
        </w:rPr>
        <w:t xml:space="preserve">the preliminary </w:t>
      </w:r>
      <w:r w:rsidRPr="00D73639">
        <w:rPr>
          <w:rFonts w:ascii="Garamond" w:hAnsi="Garamond"/>
        </w:rPr>
        <w:t>2013</w:t>
      </w:r>
      <w:r w:rsidR="0005122D" w:rsidRPr="00D73639">
        <w:rPr>
          <w:rFonts w:ascii="Garamond" w:hAnsi="Garamond"/>
        </w:rPr>
        <w:t xml:space="preserve"> </w:t>
      </w:r>
      <w:r w:rsidRPr="00D73639">
        <w:rPr>
          <w:rFonts w:ascii="Garamond" w:hAnsi="Garamond"/>
        </w:rPr>
        <w:t xml:space="preserve">TME </w:t>
      </w:r>
      <w:r w:rsidR="004558E1" w:rsidRPr="00D73639">
        <w:rPr>
          <w:rFonts w:ascii="Garamond" w:hAnsi="Garamond"/>
        </w:rPr>
        <w:t xml:space="preserve">data </w:t>
      </w:r>
      <w:r w:rsidRPr="00D73639">
        <w:rPr>
          <w:rFonts w:ascii="Garamond" w:hAnsi="Garamond"/>
        </w:rPr>
        <w:t xml:space="preserve">that </w:t>
      </w:r>
      <w:r w:rsidR="004558E1" w:rsidRPr="00D73639">
        <w:rPr>
          <w:rFonts w:ascii="Garamond" w:hAnsi="Garamond"/>
        </w:rPr>
        <w:t>is</w:t>
      </w:r>
      <w:r w:rsidRPr="00D73639">
        <w:rPr>
          <w:rFonts w:ascii="Garamond" w:hAnsi="Garamond"/>
        </w:rPr>
        <w:t xml:space="preserve"> complete and comparable to </w:t>
      </w:r>
      <w:r w:rsidR="004558E1" w:rsidRPr="00D73639">
        <w:rPr>
          <w:rFonts w:ascii="Garamond" w:hAnsi="Garamond"/>
        </w:rPr>
        <w:t xml:space="preserve">the </w:t>
      </w:r>
      <w:r w:rsidRPr="00D73639">
        <w:rPr>
          <w:rFonts w:ascii="Garamond" w:hAnsi="Garamond"/>
        </w:rPr>
        <w:t xml:space="preserve">final 2012 </w:t>
      </w:r>
      <w:r w:rsidR="004558E1" w:rsidRPr="00D73639">
        <w:rPr>
          <w:rFonts w:ascii="Garamond" w:hAnsi="Garamond"/>
        </w:rPr>
        <w:t xml:space="preserve">TME, the payers applied </w:t>
      </w:r>
      <w:r w:rsidR="004558E1" w:rsidRPr="00D73639">
        <w:rPr>
          <w:rFonts w:ascii="Garamond" w:hAnsi="Garamond"/>
        </w:rPr>
        <w:lastRenderedPageBreak/>
        <w:t>completion</w:t>
      </w:r>
      <w:r w:rsidRPr="00D73639">
        <w:rPr>
          <w:rFonts w:ascii="Garamond" w:hAnsi="Garamond"/>
        </w:rPr>
        <w:t xml:space="preserve"> factors, which include payer estimates </w:t>
      </w:r>
      <w:r w:rsidR="004558E1" w:rsidRPr="00D73639">
        <w:rPr>
          <w:rFonts w:ascii="Garamond" w:hAnsi="Garamond"/>
        </w:rPr>
        <w:t>for incurred</w:t>
      </w:r>
      <w:r w:rsidRPr="00D73639">
        <w:rPr>
          <w:rFonts w:ascii="Garamond" w:hAnsi="Garamond"/>
        </w:rPr>
        <w:t xml:space="preserve"> but not reimbursed (IBNR) ratio</w:t>
      </w:r>
      <w:r w:rsidR="007C35B4" w:rsidRPr="00D73639">
        <w:rPr>
          <w:rFonts w:ascii="Garamond" w:hAnsi="Garamond"/>
        </w:rPr>
        <w:t xml:space="preserve">s </w:t>
      </w:r>
      <w:r w:rsidRPr="00D73639">
        <w:rPr>
          <w:rFonts w:ascii="Garamond" w:hAnsi="Garamond"/>
        </w:rPr>
        <w:t xml:space="preserve">by type of service </w:t>
      </w:r>
      <w:r w:rsidR="0005122D" w:rsidRPr="00D73639">
        <w:rPr>
          <w:rFonts w:ascii="Garamond" w:hAnsi="Garamond"/>
        </w:rPr>
        <w:t xml:space="preserve">to </w:t>
      </w:r>
      <w:r w:rsidR="004558E1" w:rsidRPr="00D73639">
        <w:rPr>
          <w:rFonts w:ascii="Garamond" w:hAnsi="Garamond"/>
        </w:rPr>
        <w:t xml:space="preserve">the </w:t>
      </w:r>
      <w:r w:rsidR="0005122D" w:rsidRPr="00D73639">
        <w:rPr>
          <w:rFonts w:ascii="Garamond" w:hAnsi="Garamond"/>
        </w:rPr>
        <w:t>preliminary 2013</w:t>
      </w:r>
      <w:r w:rsidR="00304594" w:rsidRPr="00D73639">
        <w:rPr>
          <w:rFonts w:ascii="Garamond" w:hAnsi="Garamond"/>
        </w:rPr>
        <w:t xml:space="preserve"> </w:t>
      </w:r>
      <w:r w:rsidR="0005122D" w:rsidRPr="00D73639">
        <w:rPr>
          <w:rFonts w:ascii="Garamond" w:hAnsi="Garamond"/>
        </w:rPr>
        <w:t xml:space="preserve">TME data. </w:t>
      </w:r>
    </w:p>
    <w:p w14:paraId="0982153E" w14:textId="77777777" w:rsidR="00407EE5" w:rsidRPr="00D73639" w:rsidRDefault="00407EE5" w:rsidP="00407EE5">
      <w:pPr>
        <w:spacing w:after="0"/>
        <w:rPr>
          <w:rFonts w:ascii="Garamond" w:hAnsi="Garamond"/>
        </w:rPr>
      </w:pPr>
    </w:p>
    <w:p w14:paraId="5E75AAD6" w14:textId="77777777" w:rsidR="007A012D" w:rsidRPr="00D73639" w:rsidRDefault="00407EE5" w:rsidP="00407EE5">
      <w:pPr>
        <w:spacing w:after="0"/>
        <w:rPr>
          <w:rFonts w:ascii="Garamond" w:hAnsi="Garamond"/>
        </w:rPr>
      </w:pPr>
      <w:r w:rsidRPr="00D73639">
        <w:rPr>
          <w:rFonts w:ascii="Garamond" w:hAnsi="Garamond"/>
        </w:rPr>
        <w:t xml:space="preserve">The reported payment data, especially the non-claims payments, provided by payers in the preliminary 2013 TME submission could differ materially from the final results. For certain payers taking into account </w:t>
      </w:r>
      <w:r w:rsidR="00E240DB" w:rsidRPr="00D73639">
        <w:rPr>
          <w:rFonts w:ascii="Garamond" w:hAnsi="Garamond"/>
        </w:rPr>
        <w:t xml:space="preserve">the </w:t>
      </w:r>
      <w:r w:rsidRPr="00D73639">
        <w:rPr>
          <w:rFonts w:ascii="Garamond" w:hAnsi="Garamond"/>
        </w:rPr>
        <w:t xml:space="preserve">quality and financial performance of providers, much of the measured quality scores and financial/risk performance for 2013 were not available at the time of </w:t>
      </w:r>
      <w:r w:rsidR="00876979">
        <w:rPr>
          <w:rFonts w:ascii="Garamond" w:hAnsi="Garamond"/>
        </w:rPr>
        <w:t xml:space="preserve">the </w:t>
      </w:r>
      <w:r w:rsidRPr="00D73639">
        <w:rPr>
          <w:rFonts w:ascii="Garamond" w:hAnsi="Garamond"/>
        </w:rPr>
        <w:t xml:space="preserve">TME submission deadline, </w:t>
      </w:r>
      <w:r w:rsidR="007C35B4" w:rsidRPr="00D73639">
        <w:rPr>
          <w:rFonts w:ascii="Garamond" w:hAnsi="Garamond"/>
        </w:rPr>
        <w:t>which was May 1</w:t>
      </w:r>
      <w:r w:rsidR="007C35B4" w:rsidRPr="00D73639">
        <w:rPr>
          <w:rFonts w:ascii="Garamond" w:hAnsi="Garamond"/>
          <w:vertAlign w:val="superscript"/>
        </w:rPr>
        <w:t>st</w:t>
      </w:r>
      <w:r w:rsidR="00304594" w:rsidRPr="00D73639">
        <w:rPr>
          <w:rFonts w:ascii="Garamond" w:hAnsi="Garamond"/>
        </w:rPr>
        <w:t xml:space="preserve"> </w:t>
      </w:r>
      <w:r w:rsidR="007C35B4" w:rsidRPr="00D73639">
        <w:rPr>
          <w:rFonts w:ascii="Garamond" w:hAnsi="Garamond"/>
        </w:rPr>
        <w:t>2014</w:t>
      </w:r>
      <w:r w:rsidRPr="00D73639">
        <w:rPr>
          <w:rFonts w:ascii="Garamond" w:hAnsi="Garamond"/>
        </w:rPr>
        <w:t>.  Payers included estimates for the final settlements</w:t>
      </w:r>
      <w:r w:rsidR="004558E1" w:rsidRPr="00D73639">
        <w:rPr>
          <w:rFonts w:ascii="Garamond" w:hAnsi="Garamond"/>
        </w:rPr>
        <w:t xml:space="preserve"> in the preliminary data</w:t>
      </w:r>
      <w:r w:rsidR="007C35B4" w:rsidRPr="00D73639">
        <w:rPr>
          <w:rFonts w:ascii="Garamond" w:hAnsi="Garamond"/>
        </w:rPr>
        <w:t>. A</w:t>
      </w:r>
      <w:r w:rsidRPr="00D73639">
        <w:rPr>
          <w:rFonts w:ascii="Garamond" w:hAnsi="Garamond"/>
        </w:rPr>
        <w:t>s such, the final 201</w:t>
      </w:r>
      <w:r w:rsidR="00087873" w:rsidRPr="00D73639">
        <w:rPr>
          <w:rFonts w:ascii="Garamond" w:hAnsi="Garamond"/>
        </w:rPr>
        <w:t>3</w:t>
      </w:r>
      <w:r w:rsidR="00162DB9" w:rsidRPr="00D73639">
        <w:rPr>
          <w:rFonts w:ascii="Garamond" w:hAnsi="Garamond"/>
        </w:rPr>
        <w:t xml:space="preserve"> </w:t>
      </w:r>
      <w:r w:rsidRPr="00D73639">
        <w:rPr>
          <w:rFonts w:ascii="Garamond" w:hAnsi="Garamond"/>
        </w:rPr>
        <w:t xml:space="preserve">TME reported by </w:t>
      </w:r>
      <w:r w:rsidR="00162DB9" w:rsidRPr="00D73639">
        <w:rPr>
          <w:rFonts w:ascii="Garamond" w:hAnsi="Garamond"/>
        </w:rPr>
        <w:t>some</w:t>
      </w:r>
      <w:r w:rsidRPr="00D73639">
        <w:rPr>
          <w:rFonts w:ascii="Garamond" w:hAnsi="Garamond"/>
        </w:rPr>
        <w:t xml:space="preserve"> payers could differ from their preliminary 201</w:t>
      </w:r>
      <w:r w:rsidR="00087873" w:rsidRPr="00D73639">
        <w:rPr>
          <w:rFonts w:ascii="Garamond" w:hAnsi="Garamond"/>
        </w:rPr>
        <w:t>3</w:t>
      </w:r>
      <w:r w:rsidRPr="00D73639">
        <w:rPr>
          <w:rFonts w:ascii="Garamond" w:hAnsi="Garamond"/>
        </w:rPr>
        <w:t xml:space="preserve"> TME.</w:t>
      </w:r>
    </w:p>
    <w:p w14:paraId="6327C03D" w14:textId="77777777" w:rsidR="0005122D" w:rsidRPr="00D73639" w:rsidRDefault="0005122D" w:rsidP="00AB7929">
      <w:pPr>
        <w:jc w:val="both"/>
        <w:rPr>
          <w:rFonts w:ascii="Garamond" w:hAnsi="Garamond"/>
          <w:b/>
        </w:rPr>
      </w:pPr>
      <w:bookmarkStart w:id="2" w:name="_Toc363744262"/>
      <w:bookmarkStart w:id="3" w:name="_Toc238098498"/>
    </w:p>
    <w:p w14:paraId="0706BE9A" w14:textId="77777777" w:rsidR="004D5235" w:rsidRPr="00D73639" w:rsidRDefault="003249F4" w:rsidP="004D5235">
      <w:pPr>
        <w:spacing w:after="0"/>
        <w:rPr>
          <w:rFonts w:ascii="Garamond" w:hAnsi="Garamond"/>
          <w:b/>
        </w:rPr>
      </w:pPr>
      <w:r w:rsidRPr="00D73639">
        <w:rPr>
          <w:rFonts w:ascii="Garamond" w:hAnsi="Garamond"/>
          <w:b/>
        </w:rPr>
        <w:t xml:space="preserve">List of </w:t>
      </w:r>
      <w:r w:rsidR="004D5235" w:rsidRPr="00D73639">
        <w:rPr>
          <w:rFonts w:ascii="Garamond" w:hAnsi="Garamond"/>
          <w:b/>
        </w:rPr>
        <w:t xml:space="preserve">Payers Reporting </w:t>
      </w:r>
      <w:r w:rsidR="00D16926" w:rsidRPr="00D73639">
        <w:rPr>
          <w:rFonts w:ascii="Garamond" w:hAnsi="Garamond"/>
          <w:b/>
        </w:rPr>
        <w:t xml:space="preserve">2012-2013 </w:t>
      </w:r>
      <w:r w:rsidR="004D5235" w:rsidRPr="00D73639">
        <w:rPr>
          <w:rFonts w:ascii="Garamond" w:hAnsi="Garamond"/>
          <w:b/>
        </w:rPr>
        <w:t xml:space="preserve">TME </w:t>
      </w:r>
      <w:r w:rsidR="00D16926" w:rsidRPr="00D73639">
        <w:rPr>
          <w:rFonts w:ascii="Garamond" w:hAnsi="Garamond"/>
          <w:b/>
        </w:rPr>
        <w:t xml:space="preserve">Data </w:t>
      </w:r>
      <w:r w:rsidR="004D5235" w:rsidRPr="00D73639">
        <w:rPr>
          <w:rFonts w:ascii="Garamond" w:hAnsi="Garamond"/>
          <w:b/>
        </w:rPr>
        <w:t xml:space="preserve">and </w:t>
      </w:r>
      <w:r w:rsidR="00D16926" w:rsidRPr="00D73639">
        <w:rPr>
          <w:rFonts w:ascii="Garamond" w:hAnsi="Garamond"/>
          <w:b/>
        </w:rPr>
        <w:t xml:space="preserve">2013 </w:t>
      </w:r>
      <w:r w:rsidR="004D5235" w:rsidRPr="00D73639">
        <w:rPr>
          <w:rFonts w:ascii="Garamond" w:hAnsi="Garamond"/>
          <w:b/>
        </w:rPr>
        <w:t>APM Data</w:t>
      </w:r>
    </w:p>
    <w:tbl>
      <w:tblPr>
        <w:tblStyle w:val="LightGrid-Accent1"/>
        <w:tblW w:w="10080" w:type="dxa"/>
        <w:tblInd w:w="108" w:type="dxa"/>
        <w:tblLayout w:type="fixed"/>
        <w:tblLook w:val="04A0" w:firstRow="1" w:lastRow="0" w:firstColumn="1" w:lastColumn="0" w:noHBand="0" w:noVBand="1"/>
      </w:tblPr>
      <w:tblGrid>
        <w:gridCol w:w="4590"/>
        <w:gridCol w:w="5490"/>
      </w:tblGrid>
      <w:tr w:rsidR="00D16926" w:rsidRPr="00D73639" w14:paraId="72217338" w14:textId="77777777" w:rsidTr="0061712B">
        <w:trPr>
          <w:cnfStyle w:val="100000000000" w:firstRow="1" w:lastRow="0" w:firstColumn="0" w:lastColumn="0" w:oddVBand="0" w:evenVBand="0" w:oddHBand="0"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4590" w:type="dxa"/>
            <w:noWrap/>
            <w:hideMark/>
          </w:tcPr>
          <w:p w14:paraId="28CAD6A4" w14:textId="77777777" w:rsidR="00D16926" w:rsidRPr="00A24AA3" w:rsidRDefault="003249F4" w:rsidP="0061712B">
            <w:pPr>
              <w:spacing w:after="0" w:line="240" w:lineRule="auto"/>
              <w:jc w:val="center"/>
              <w:rPr>
                <w:rFonts w:ascii="Garamond" w:eastAsia="Times New Roman" w:hAnsi="Garamond"/>
                <w:color w:val="000000"/>
                <w:sz w:val="20"/>
                <w:szCs w:val="20"/>
              </w:rPr>
            </w:pPr>
            <w:r w:rsidRPr="00A24AA3">
              <w:rPr>
                <w:rFonts w:ascii="Garamond" w:hAnsi="Garamond"/>
                <w:sz w:val="20"/>
                <w:szCs w:val="20"/>
              </w:rPr>
              <w:t>Payer</w:t>
            </w:r>
          </w:p>
        </w:tc>
        <w:tc>
          <w:tcPr>
            <w:tcW w:w="5490" w:type="dxa"/>
            <w:noWrap/>
            <w:hideMark/>
          </w:tcPr>
          <w:p w14:paraId="08990A01" w14:textId="77777777" w:rsidR="00D16926" w:rsidRPr="00A24AA3" w:rsidRDefault="00D16926" w:rsidP="00D1692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Garamond" w:eastAsia="Times New Roman" w:hAnsi="Garamond"/>
                <w:color w:val="000000"/>
                <w:sz w:val="20"/>
                <w:szCs w:val="20"/>
              </w:rPr>
            </w:pPr>
            <w:r w:rsidRPr="00A24AA3">
              <w:rPr>
                <w:rFonts w:ascii="Garamond" w:eastAsia="Times New Roman" w:hAnsi="Garamond"/>
                <w:color w:val="000000"/>
                <w:sz w:val="20"/>
                <w:szCs w:val="20"/>
              </w:rPr>
              <w:t>Data Type</w:t>
            </w:r>
          </w:p>
        </w:tc>
      </w:tr>
      <w:tr w:rsidR="00D16926" w:rsidRPr="00D73639" w14:paraId="6484775A" w14:textId="77777777" w:rsidTr="00D16926">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590" w:type="dxa"/>
            <w:noWrap/>
          </w:tcPr>
          <w:p w14:paraId="084E27A7" w14:textId="77777777" w:rsidR="00D16926" w:rsidRPr="00A24AA3" w:rsidRDefault="00D16926" w:rsidP="0061712B">
            <w:pPr>
              <w:spacing w:after="0"/>
              <w:rPr>
                <w:rFonts w:ascii="Garamond" w:hAnsi="Garamond"/>
                <w:sz w:val="20"/>
                <w:szCs w:val="20"/>
              </w:rPr>
            </w:pPr>
            <w:r w:rsidRPr="00A24AA3">
              <w:rPr>
                <w:rFonts w:ascii="Garamond" w:hAnsi="Garamond"/>
                <w:sz w:val="20"/>
                <w:szCs w:val="20"/>
              </w:rPr>
              <w:t>Aetna Health Insurance Company (Aetna)</w:t>
            </w:r>
          </w:p>
        </w:tc>
        <w:tc>
          <w:tcPr>
            <w:tcW w:w="5490" w:type="dxa"/>
            <w:noWrap/>
          </w:tcPr>
          <w:p w14:paraId="3953F255" w14:textId="77777777" w:rsidR="00D16926" w:rsidRPr="00A24AA3" w:rsidRDefault="00D16926" w:rsidP="00D16926">
            <w:pPr>
              <w:spacing w:after="0"/>
              <w:cnfStyle w:val="000000100000" w:firstRow="0" w:lastRow="0" w:firstColumn="0" w:lastColumn="0" w:oddVBand="0" w:evenVBand="0" w:oddHBand="1" w:evenHBand="0" w:firstRowFirstColumn="0" w:firstRowLastColumn="0" w:lastRowFirstColumn="0" w:lastRowLastColumn="0"/>
              <w:rPr>
                <w:rFonts w:ascii="Garamond" w:hAnsi="Garamond"/>
                <w:sz w:val="20"/>
                <w:szCs w:val="20"/>
              </w:rPr>
            </w:pPr>
            <w:r w:rsidRPr="00A24AA3">
              <w:rPr>
                <w:rFonts w:ascii="Garamond" w:hAnsi="Garamond"/>
                <w:sz w:val="20"/>
                <w:szCs w:val="20"/>
              </w:rPr>
              <w:t xml:space="preserve">Commercial full and </w:t>
            </w:r>
            <w:r w:rsidR="00EA4DBF">
              <w:rPr>
                <w:rFonts w:ascii="Garamond" w:hAnsi="Garamond"/>
                <w:sz w:val="20"/>
                <w:szCs w:val="20"/>
              </w:rPr>
              <w:t>partial-claim</w:t>
            </w:r>
            <w:r w:rsidRPr="00A24AA3">
              <w:rPr>
                <w:rFonts w:ascii="Garamond" w:hAnsi="Garamond"/>
                <w:sz w:val="20"/>
                <w:szCs w:val="20"/>
              </w:rPr>
              <w:t>s; Medicare Advantage</w:t>
            </w:r>
          </w:p>
        </w:tc>
      </w:tr>
      <w:tr w:rsidR="00D16926" w:rsidRPr="00D73639" w14:paraId="6CB855D8" w14:textId="77777777" w:rsidTr="00D16926">
        <w:trPr>
          <w:cnfStyle w:val="000000010000" w:firstRow="0" w:lastRow="0" w:firstColumn="0" w:lastColumn="0" w:oddVBand="0" w:evenVBand="0" w:oddHBand="0" w:evenHBand="1"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590" w:type="dxa"/>
            <w:noWrap/>
          </w:tcPr>
          <w:p w14:paraId="48E394AE" w14:textId="77777777" w:rsidR="00D16926" w:rsidRPr="00A24AA3" w:rsidRDefault="00D16926" w:rsidP="0061712B">
            <w:pPr>
              <w:spacing w:after="0"/>
              <w:rPr>
                <w:rFonts w:ascii="Garamond" w:hAnsi="Garamond"/>
                <w:sz w:val="20"/>
                <w:szCs w:val="20"/>
              </w:rPr>
            </w:pPr>
            <w:r w:rsidRPr="00A24AA3">
              <w:rPr>
                <w:rFonts w:ascii="Garamond" w:hAnsi="Garamond"/>
                <w:sz w:val="20"/>
                <w:szCs w:val="20"/>
              </w:rPr>
              <w:t>Blue Cross Blue Shield of Massachusetts (BCBS)</w:t>
            </w:r>
          </w:p>
        </w:tc>
        <w:tc>
          <w:tcPr>
            <w:tcW w:w="5490" w:type="dxa"/>
            <w:noWrap/>
          </w:tcPr>
          <w:p w14:paraId="5DCBC102" w14:textId="77777777" w:rsidR="00D16926" w:rsidRPr="00A24AA3" w:rsidRDefault="00D16926" w:rsidP="00D16926">
            <w:pPr>
              <w:spacing w:after="0"/>
              <w:cnfStyle w:val="000000010000" w:firstRow="0" w:lastRow="0" w:firstColumn="0" w:lastColumn="0" w:oddVBand="0" w:evenVBand="0" w:oddHBand="0" w:evenHBand="1" w:firstRowFirstColumn="0" w:firstRowLastColumn="0" w:lastRowFirstColumn="0" w:lastRowLastColumn="0"/>
              <w:rPr>
                <w:rFonts w:ascii="Garamond" w:hAnsi="Garamond"/>
                <w:sz w:val="20"/>
                <w:szCs w:val="20"/>
              </w:rPr>
            </w:pPr>
            <w:r w:rsidRPr="00A24AA3">
              <w:rPr>
                <w:rFonts w:ascii="Garamond" w:hAnsi="Garamond"/>
                <w:sz w:val="20"/>
                <w:szCs w:val="20"/>
              </w:rPr>
              <w:t xml:space="preserve">Commercial full and </w:t>
            </w:r>
            <w:r w:rsidR="00EA4DBF">
              <w:rPr>
                <w:rFonts w:ascii="Garamond" w:hAnsi="Garamond"/>
                <w:sz w:val="20"/>
                <w:szCs w:val="20"/>
              </w:rPr>
              <w:t>partial-claim</w:t>
            </w:r>
            <w:r w:rsidRPr="00A24AA3">
              <w:rPr>
                <w:rFonts w:ascii="Garamond" w:hAnsi="Garamond"/>
                <w:sz w:val="20"/>
                <w:szCs w:val="20"/>
              </w:rPr>
              <w:t>s; Medicare Advantage</w:t>
            </w:r>
          </w:p>
        </w:tc>
      </w:tr>
      <w:tr w:rsidR="00D16926" w:rsidRPr="00D73639" w14:paraId="0BD506BA" w14:textId="77777777" w:rsidTr="00D16926">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590" w:type="dxa"/>
            <w:noWrap/>
          </w:tcPr>
          <w:p w14:paraId="76C243CA" w14:textId="77777777" w:rsidR="00D16926" w:rsidRPr="00A24AA3" w:rsidRDefault="00D16926" w:rsidP="00CD2C8C">
            <w:pPr>
              <w:spacing w:after="0"/>
              <w:rPr>
                <w:rFonts w:ascii="Garamond" w:hAnsi="Garamond"/>
                <w:sz w:val="20"/>
                <w:szCs w:val="20"/>
              </w:rPr>
            </w:pPr>
            <w:r w:rsidRPr="00A24AA3">
              <w:rPr>
                <w:rFonts w:ascii="Garamond" w:hAnsi="Garamond"/>
                <w:sz w:val="20"/>
                <w:szCs w:val="20"/>
              </w:rPr>
              <w:t xml:space="preserve">BMC </w:t>
            </w:r>
            <w:proofErr w:type="spellStart"/>
            <w:r w:rsidRPr="00A24AA3">
              <w:rPr>
                <w:rFonts w:ascii="Garamond" w:hAnsi="Garamond"/>
                <w:sz w:val="20"/>
                <w:szCs w:val="20"/>
              </w:rPr>
              <w:t>HealthNet</w:t>
            </w:r>
            <w:proofErr w:type="spellEnd"/>
            <w:r w:rsidRPr="00A24AA3">
              <w:rPr>
                <w:rFonts w:ascii="Garamond" w:hAnsi="Garamond"/>
                <w:sz w:val="20"/>
                <w:szCs w:val="20"/>
              </w:rPr>
              <w:t xml:space="preserve"> (BMC)</w:t>
            </w:r>
            <w:r w:rsidRPr="00A24AA3">
              <w:rPr>
                <w:rFonts w:ascii="Garamond" w:hAnsi="Garamond"/>
                <w:sz w:val="20"/>
                <w:szCs w:val="20"/>
                <w:vertAlign w:val="superscript"/>
              </w:rPr>
              <w:t>*</w:t>
            </w:r>
          </w:p>
        </w:tc>
        <w:tc>
          <w:tcPr>
            <w:tcW w:w="5490" w:type="dxa"/>
            <w:noWrap/>
          </w:tcPr>
          <w:p w14:paraId="15AF9432" w14:textId="77777777" w:rsidR="00D16926" w:rsidRPr="00A24AA3" w:rsidRDefault="00D16926" w:rsidP="00D16926">
            <w:pPr>
              <w:spacing w:after="0"/>
              <w:cnfStyle w:val="000000100000" w:firstRow="0" w:lastRow="0" w:firstColumn="0" w:lastColumn="0" w:oddVBand="0" w:evenVBand="0" w:oddHBand="1" w:evenHBand="0" w:firstRowFirstColumn="0" w:firstRowLastColumn="0" w:lastRowFirstColumn="0" w:lastRowLastColumn="0"/>
              <w:rPr>
                <w:rFonts w:ascii="Garamond" w:hAnsi="Garamond"/>
                <w:sz w:val="20"/>
                <w:szCs w:val="20"/>
              </w:rPr>
            </w:pPr>
            <w:r w:rsidRPr="00A24AA3">
              <w:rPr>
                <w:rFonts w:ascii="Garamond" w:hAnsi="Garamond"/>
                <w:sz w:val="20"/>
                <w:szCs w:val="20"/>
              </w:rPr>
              <w:t xml:space="preserve">Commercial </w:t>
            </w:r>
            <w:r w:rsidR="00EA4DBF">
              <w:rPr>
                <w:rFonts w:ascii="Garamond" w:hAnsi="Garamond"/>
                <w:sz w:val="20"/>
                <w:szCs w:val="20"/>
              </w:rPr>
              <w:t>full-claim</w:t>
            </w:r>
            <w:r w:rsidRPr="00A24AA3">
              <w:rPr>
                <w:rFonts w:ascii="Garamond" w:hAnsi="Garamond"/>
                <w:sz w:val="20"/>
                <w:szCs w:val="20"/>
              </w:rPr>
              <w:t>s (</w:t>
            </w:r>
            <w:r w:rsidR="000F6D1E" w:rsidRPr="00A24AA3">
              <w:rPr>
                <w:rFonts w:ascii="Garamond" w:hAnsi="Garamond"/>
                <w:sz w:val="20"/>
                <w:szCs w:val="20"/>
              </w:rPr>
              <w:t>2013</w:t>
            </w:r>
            <w:r w:rsidRPr="00A24AA3">
              <w:rPr>
                <w:rFonts w:ascii="Garamond" w:hAnsi="Garamond"/>
                <w:sz w:val="20"/>
                <w:szCs w:val="20"/>
              </w:rPr>
              <w:t xml:space="preserve">); </w:t>
            </w:r>
            <w:proofErr w:type="spellStart"/>
            <w:r w:rsidRPr="00A24AA3">
              <w:rPr>
                <w:rFonts w:ascii="Garamond" w:hAnsi="Garamond"/>
                <w:sz w:val="20"/>
                <w:szCs w:val="20"/>
              </w:rPr>
              <w:t>MassHealth</w:t>
            </w:r>
            <w:proofErr w:type="spellEnd"/>
            <w:r w:rsidRPr="00A24AA3">
              <w:rPr>
                <w:rFonts w:ascii="Garamond" w:hAnsi="Garamond"/>
                <w:sz w:val="20"/>
                <w:szCs w:val="20"/>
              </w:rPr>
              <w:t xml:space="preserve"> MCO</w:t>
            </w:r>
            <w:r w:rsidR="002352FB" w:rsidRPr="00A24AA3">
              <w:rPr>
                <w:rFonts w:ascii="Garamond" w:hAnsi="Garamond"/>
                <w:sz w:val="20"/>
                <w:szCs w:val="20"/>
              </w:rPr>
              <w:t>; Commonwealth Care</w:t>
            </w:r>
          </w:p>
        </w:tc>
      </w:tr>
      <w:tr w:rsidR="00D16926" w:rsidRPr="00D73639" w14:paraId="0761960A" w14:textId="77777777" w:rsidTr="00D16926">
        <w:trPr>
          <w:cnfStyle w:val="000000010000" w:firstRow="0" w:lastRow="0" w:firstColumn="0" w:lastColumn="0" w:oddVBand="0" w:evenVBand="0" w:oddHBand="0" w:evenHBand="1"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590" w:type="dxa"/>
            <w:noWrap/>
          </w:tcPr>
          <w:p w14:paraId="066FC8C4" w14:textId="77777777" w:rsidR="00D16926" w:rsidRPr="00A24AA3" w:rsidRDefault="00D16926" w:rsidP="0061712B">
            <w:pPr>
              <w:spacing w:after="0"/>
              <w:rPr>
                <w:rFonts w:ascii="Garamond" w:hAnsi="Garamond"/>
                <w:sz w:val="20"/>
                <w:szCs w:val="20"/>
              </w:rPr>
            </w:pPr>
            <w:proofErr w:type="spellStart"/>
            <w:r w:rsidRPr="00A24AA3">
              <w:rPr>
                <w:rFonts w:ascii="Garamond" w:hAnsi="Garamond"/>
                <w:sz w:val="20"/>
                <w:szCs w:val="20"/>
              </w:rPr>
              <w:t>CeltiCare</w:t>
            </w:r>
            <w:proofErr w:type="spellEnd"/>
            <w:r w:rsidRPr="00A24AA3">
              <w:rPr>
                <w:rFonts w:ascii="Garamond" w:hAnsi="Garamond"/>
                <w:sz w:val="20"/>
                <w:szCs w:val="20"/>
              </w:rPr>
              <w:t xml:space="preserve"> Health Plan (</w:t>
            </w:r>
            <w:proofErr w:type="spellStart"/>
            <w:r w:rsidRPr="00A24AA3">
              <w:rPr>
                <w:rFonts w:ascii="Garamond" w:hAnsi="Garamond"/>
                <w:sz w:val="20"/>
                <w:szCs w:val="20"/>
              </w:rPr>
              <w:t>CeltiCare</w:t>
            </w:r>
            <w:proofErr w:type="spellEnd"/>
            <w:r w:rsidRPr="00A24AA3">
              <w:rPr>
                <w:rFonts w:ascii="Garamond" w:hAnsi="Garamond"/>
                <w:sz w:val="20"/>
                <w:szCs w:val="20"/>
              </w:rPr>
              <w:t>)</w:t>
            </w:r>
          </w:p>
        </w:tc>
        <w:tc>
          <w:tcPr>
            <w:tcW w:w="5490" w:type="dxa"/>
            <w:noWrap/>
          </w:tcPr>
          <w:p w14:paraId="0975CDB7" w14:textId="77777777" w:rsidR="00D16926" w:rsidRPr="00A24AA3" w:rsidRDefault="00D16926" w:rsidP="00D16926">
            <w:pPr>
              <w:spacing w:after="0"/>
              <w:cnfStyle w:val="000000010000" w:firstRow="0" w:lastRow="0" w:firstColumn="0" w:lastColumn="0" w:oddVBand="0" w:evenVBand="0" w:oddHBand="0" w:evenHBand="1" w:firstRowFirstColumn="0" w:firstRowLastColumn="0" w:lastRowFirstColumn="0" w:lastRowLastColumn="0"/>
              <w:rPr>
                <w:rFonts w:ascii="Garamond" w:hAnsi="Garamond"/>
                <w:sz w:val="20"/>
                <w:szCs w:val="20"/>
              </w:rPr>
            </w:pPr>
            <w:r w:rsidRPr="00A24AA3">
              <w:rPr>
                <w:rFonts w:ascii="Garamond" w:hAnsi="Garamond"/>
                <w:sz w:val="20"/>
                <w:szCs w:val="20"/>
              </w:rPr>
              <w:t xml:space="preserve">Commercial </w:t>
            </w:r>
            <w:r w:rsidR="00EA4DBF">
              <w:rPr>
                <w:rFonts w:ascii="Garamond" w:hAnsi="Garamond"/>
                <w:sz w:val="20"/>
                <w:szCs w:val="20"/>
              </w:rPr>
              <w:t>full-claim</w:t>
            </w:r>
            <w:r w:rsidRPr="00A24AA3">
              <w:rPr>
                <w:rFonts w:ascii="Garamond" w:hAnsi="Garamond"/>
                <w:sz w:val="20"/>
                <w:szCs w:val="20"/>
              </w:rPr>
              <w:t>s</w:t>
            </w:r>
            <w:r w:rsidR="002352FB" w:rsidRPr="00A24AA3">
              <w:rPr>
                <w:rFonts w:ascii="Garamond" w:hAnsi="Garamond"/>
                <w:sz w:val="20"/>
                <w:szCs w:val="20"/>
              </w:rPr>
              <w:t>; Commonwealth Care</w:t>
            </w:r>
            <w:r w:rsidR="00AE0130" w:rsidRPr="00A24AA3">
              <w:rPr>
                <w:rFonts w:ascii="Garamond" w:hAnsi="Garamond"/>
                <w:sz w:val="20"/>
                <w:szCs w:val="20"/>
              </w:rPr>
              <w:t>; Medical Security Program (2012)</w:t>
            </w:r>
          </w:p>
        </w:tc>
      </w:tr>
      <w:tr w:rsidR="00D16926" w:rsidRPr="00D73639" w14:paraId="47E3687A" w14:textId="77777777" w:rsidTr="00D16926">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590" w:type="dxa"/>
            <w:noWrap/>
          </w:tcPr>
          <w:p w14:paraId="45C5A5B8" w14:textId="77777777" w:rsidR="00D16926" w:rsidRPr="00A24AA3" w:rsidRDefault="00D16926" w:rsidP="0061712B">
            <w:pPr>
              <w:spacing w:after="0"/>
              <w:rPr>
                <w:rFonts w:ascii="Garamond" w:hAnsi="Garamond"/>
                <w:sz w:val="20"/>
                <w:szCs w:val="20"/>
              </w:rPr>
            </w:pPr>
            <w:r w:rsidRPr="00A24AA3">
              <w:rPr>
                <w:rFonts w:ascii="Garamond" w:hAnsi="Garamond"/>
                <w:sz w:val="20"/>
                <w:szCs w:val="20"/>
              </w:rPr>
              <w:t>Connecticut General Life Insurance Company (C</w:t>
            </w:r>
            <w:r w:rsidR="00876979">
              <w:rPr>
                <w:rFonts w:ascii="Garamond" w:hAnsi="Garamond"/>
                <w:sz w:val="20"/>
                <w:szCs w:val="20"/>
              </w:rPr>
              <w:t>IGNA</w:t>
            </w:r>
            <w:r w:rsidRPr="00A24AA3">
              <w:rPr>
                <w:rFonts w:ascii="Garamond" w:hAnsi="Garamond"/>
                <w:sz w:val="20"/>
                <w:szCs w:val="20"/>
              </w:rPr>
              <w:t>)</w:t>
            </w:r>
          </w:p>
        </w:tc>
        <w:tc>
          <w:tcPr>
            <w:tcW w:w="5490" w:type="dxa"/>
            <w:noWrap/>
          </w:tcPr>
          <w:p w14:paraId="4A736480" w14:textId="77777777" w:rsidR="00D16926" w:rsidRPr="00A24AA3" w:rsidRDefault="00D16926" w:rsidP="00D16926">
            <w:pPr>
              <w:spacing w:after="0"/>
              <w:cnfStyle w:val="000000100000" w:firstRow="0" w:lastRow="0" w:firstColumn="0" w:lastColumn="0" w:oddVBand="0" w:evenVBand="0" w:oddHBand="1" w:evenHBand="0" w:firstRowFirstColumn="0" w:firstRowLastColumn="0" w:lastRowFirstColumn="0" w:lastRowLastColumn="0"/>
              <w:rPr>
                <w:rFonts w:ascii="Garamond" w:hAnsi="Garamond"/>
                <w:sz w:val="20"/>
                <w:szCs w:val="20"/>
              </w:rPr>
            </w:pPr>
            <w:r w:rsidRPr="00A24AA3">
              <w:rPr>
                <w:rFonts w:ascii="Garamond" w:hAnsi="Garamond"/>
                <w:sz w:val="20"/>
                <w:szCs w:val="20"/>
              </w:rPr>
              <w:t xml:space="preserve">Commercial </w:t>
            </w:r>
            <w:r w:rsidR="00EA4DBF">
              <w:rPr>
                <w:rFonts w:ascii="Garamond" w:hAnsi="Garamond"/>
                <w:sz w:val="20"/>
                <w:szCs w:val="20"/>
              </w:rPr>
              <w:t>full-claim</w:t>
            </w:r>
            <w:r w:rsidRPr="00A24AA3">
              <w:rPr>
                <w:rFonts w:ascii="Garamond" w:hAnsi="Garamond"/>
                <w:sz w:val="20"/>
                <w:szCs w:val="20"/>
              </w:rPr>
              <w:t>s</w:t>
            </w:r>
          </w:p>
        </w:tc>
      </w:tr>
      <w:tr w:rsidR="00D16926" w:rsidRPr="00D73639" w14:paraId="23C1C239" w14:textId="77777777" w:rsidTr="00D16926">
        <w:trPr>
          <w:cnfStyle w:val="000000010000" w:firstRow="0" w:lastRow="0" w:firstColumn="0" w:lastColumn="0" w:oddVBand="0" w:evenVBand="0" w:oddHBand="0" w:evenHBand="1"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590" w:type="dxa"/>
            <w:noWrap/>
          </w:tcPr>
          <w:p w14:paraId="7A2BF253" w14:textId="77777777" w:rsidR="00D16926" w:rsidRPr="00A24AA3" w:rsidRDefault="00D16926" w:rsidP="0061712B">
            <w:pPr>
              <w:spacing w:after="0"/>
              <w:rPr>
                <w:rFonts w:ascii="Garamond" w:hAnsi="Garamond"/>
                <w:sz w:val="20"/>
                <w:szCs w:val="20"/>
              </w:rPr>
            </w:pPr>
            <w:r w:rsidRPr="00A24AA3">
              <w:rPr>
                <w:rFonts w:ascii="Garamond" w:hAnsi="Garamond"/>
                <w:sz w:val="20"/>
                <w:szCs w:val="20"/>
              </w:rPr>
              <w:t>Fallon Health (Fallon)</w:t>
            </w:r>
            <w:r w:rsidR="00CD2C8C" w:rsidRPr="00A24AA3">
              <w:rPr>
                <w:rFonts w:ascii="Garamond" w:hAnsi="Garamond"/>
                <w:sz w:val="20"/>
                <w:szCs w:val="20"/>
                <w:vertAlign w:val="superscript"/>
              </w:rPr>
              <w:t>†</w:t>
            </w:r>
          </w:p>
        </w:tc>
        <w:tc>
          <w:tcPr>
            <w:tcW w:w="5490" w:type="dxa"/>
            <w:noWrap/>
          </w:tcPr>
          <w:p w14:paraId="02FC4A79" w14:textId="77777777" w:rsidR="00D16926" w:rsidRPr="00A24AA3" w:rsidRDefault="00D16926" w:rsidP="00AE0130">
            <w:pPr>
              <w:spacing w:after="0"/>
              <w:cnfStyle w:val="000000010000" w:firstRow="0" w:lastRow="0" w:firstColumn="0" w:lastColumn="0" w:oddVBand="0" w:evenVBand="0" w:oddHBand="0" w:evenHBand="1" w:firstRowFirstColumn="0" w:firstRowLastColumn="0" w:lastRowFirstColumn="0" w:lastRowLastColumn="0"/>
              <w:rPr>
                <w:rFonts w:ascii="Garamond" w:hAnsi="Garamond"/>
                <w:sz w:val="20"/>
                <w:szCs w:val="20"/>
              </w:rPr>
            </w:pPr>
            <w:r w:rsidRPr="00A24AA3">
              <w:rPr>
                <w:rFonts w:ascii="Garamond" w:hAnsi="Garamond"/>
                <w:sz w:val="20"/>
                <w:szCs w:val="20"/>
              </w:rPr>
              <w:t xml:space="preserve">Commercial full and </w:t>
            </w:r>
            <w:r w:rsidR="00EA4DBF">
              <w:rPr>
                <w:rFonts w:ascii="Garamond" w:hAnsi="Garamond"/>
                <w:sz w:val="20"/>
                <w:szCs w:val="20"/>
              </w:rPr>
              <w:t>partial-claim</w:t>
            </w:r>
            <w:r w:rsidRPr="00A24AA3">
              <w:rPr>
                <w:rFonts w:ascii="Garamond" w:hAnsi="Garamond"/>
                <w:sz w:val="20"/>
                <w:szCs w:val="20"/>
              </w:rPr>
              <w:t xml:space="preserve">s; </w:t>
            </w:r>
            <w:proofErr w:type="spellStart"/>
            <w:r w:rsidR="002352FB" w:rsidRPr="00A24AA3">
              <w:rPr>
                <w:rFonts w:ascii="Garamond" w:hAnsi="Garamond"/>
                <w:sz w:val="20"/>
                <w:szCs w:val="20"/>
              </w:rPr>
              <w:t>MassHealth</w:t>
            </w:r>
            <w:proofErr w:type="spellEnd"/>
            <w:r w:rsidR="002352FB" w:rsidRPr="00A24AA3">
              <w:rPr>
                <w:rFonts w:ascii="Garamond" w:hAnsi="Garamond"/>
                <w:sz w:val="20"/>
                <w:szCs w:val="20"/>
              </w:rPr>
              <w:t xml:space="preserve"> MCO; </w:t>
            </w:r>
            <w:proofErr w:type="spellStart"/>
            <w:r w:rsidR="000F6D1E" w:rsidRPr="00A24AA3">
              <w:rPr>
                <w:rFonts w:ascii="Garamond" w:hAnsi="Garamond"/>
                <w:sz w:val="20"/>
                <w:szCs w:val="20"/>
              </w:rPr>
              <w:t>MassHealth</w:t>
            </w:r>
            <w:proofErr w:type="spellEnd"/>
            <w:r w:rsidR="000F6D1E" w:rsidRPr="00A24AA3">
              <w:rPr>
                <w:rFonts w:ascii="Garamond" w:hAnsi="Garamond"/>
                <w:sz w:val="20"/>
                <w:szCs w:val="20"/>
              </w:rPr>
              <w:t xml:space="preserve"> Dual </w:t>
            </w:r>
            <w:r w:rsidR="00AE0130" w:rsidRPr="00A24AA3">
              <w:rPr>
                <w:rFonts w:ascii="Garamond" w:hAnsi="Garamond"/>
                <w:sz w:val="20"/>
                <w:szCs w:val="20"/>
              </w:rPr>
              <w:t>21</w:t>
            </w:r>
            <w:r w:rsidR="000F6D1E" w:rsidRPr="00A24AA3">
              <w:rPr>
                <w:rFonts w:ascii="Garamond" w:hAnsi="Garamond"/>
                <w:sz w:val="20"/>
                <w:szCs w:val="20"/>
              </w:rPr>
              <w:t xml:space="preserve">-64 and 65+ (2013); </w:t>
            </w:r>
            <w:r w:rsidR="002352FB" w:rsidRPr="00A24AA3">
              <w:rPr>
                <w:rFonts w:ascii="Garamond" w:hAnsi="Garamond"/>
                <w:sz w:val="20"/>
                <w:szCs w:val="20"/>
              </w:rPr>
              <w:t xml:space="preserve">Commonwealth Care; </w:t>
            </w:r>
            <w:r w:rsidRPr="00A24AA3">
              <w:rPr>
                <w:rFonts w:ascii="Garamond" w:hAnsi="Garamond"/>
                <w:sz w:val="20"/>
                <w:szCs w:val="20"/>
              </w:rPr>
              <w:t>Medicare Advantage</w:t>
            </w:r>
          </w:p>
        </w:tc>
      </w:tr>
      <w:tr w:rsidR="00D16926" w:rsidRPr="00D73639" w14:paraId="23211E44" w14:textId="77777777" w:rsidTr="00D16926">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590" w:type="dxa"/>
            <w:noWrap/>
          </w:tcPr>
          <w:p w14:paraId="5B44DC60" w14:textId="77777777" w:rsidR="00D16926" w:rsidRPr="00A24AA3" w:rsidRDefault="00D16926" w:rsidP="0061712B">
            <w:pPr>
              <w:spacing w:after="0"/>
              <w:rPr>
                <w:rFonts w:ascii="Garamond" w:hAnsi="Garamond"/>
                <w:sz w:val="20"/>
                <w:szCs w:val="20"/>
              </w:rPr>
            </w:pPr>
            <w:r w:rsidRPr="00A24AA3">
              <w:rPr>
                <w:rFonts w:ascii="Garamond" w:hAnsi="Garamond"/>
                <w:sz w:val="20"/>
                <w:szCs w:val="20"/>
              </w:rPr>
              <w:t>Harvard Pilgrim Health Care (HPHC)</w:t>
            </w:r>
            <w:r w:rsidR="00E66842" w:rsidRPr="00A24AA3">
              <w:rPr>
                <w:rFonts w:ascii="Garamond" w:hAnsi="Garamond"/>
                <w:sz w:val="20"/>
                <w:szCs w:val="20"/>
                <w:vertAlign w:val="superscript"/>
              </w:rPr>
              <w:t>¶</w:t>
            </w:r>
          </w:p>
        </w:tc>
        <w:tc>
          <w:tcPr>
            <w:tcW w:w="5490" w:type="dxa"/>
          </w:tcPr>
          <w:p w14:paraId="7BC72D48" w14:textId="77777777" w:rsidR="00D16926" w:rsidRPr="00A24AA3" w:rsidRDefault="00D16926" w:rsidP="00D16926">
            <w:pPr>
              <w:spacing w:after="0"/>
              <w:cnfStyle w:val="000000100000" w:firstRow="0" w:lastRow="0" w:firstColumn="0" w:lastColumn="0" w:oddVBand="0" w:evenVBand="0" w:oddHBand="1" w:evenHBand="0" w:firstRowFirstColumn="0" w:firstRowLastColumn="0" w:lastRowFirstColumn="0" w:lastRowLastColumn="0"/>
              <w:rPr>
                <w:rFonts w:ascii="Garamond" w:hAnsi="Garamond"/>
                <w:sz w:val="20"/>
                <w:szCs w:val="20"/>
              </w:rPr>
            </w:pPr>
            <w:r w:rsidRPr="00A24AA3">
              <w:rPr>
                <w:rFonts w:ascii="Garamond" w:hAnsi="Garamond"/>
                <w:sz w:val="20"/>
                <w:szCs w:val="20"/>
              </w:rPr>
              <w:t xml:space="preserve">Commercial full and </w:t>
            </w:r>
            <w:r w:rsidR="00EA4DBF">
              <w:rPr>
                <w:rFonts w:ascii="Garamond" w:hAnsi="Garamond"/>
                <w:sz w:val="20"/>
                <w:szCs w:val="20"/>
              </w:rPr>
              <w:t>partial-claim</w:t>
            </w:r>
            <w:r w:rsidRPr="00A24AA3">
              <w:rPr>
                <w:rFonts w:ascii="Garamond" w:hAnsi="Garamond"/>
                <w:sz w:val="20"/>
                <w:szCs w:val="20"/>
              </w:rPr>
              <w:t>s</w:t>
            </w:r>
          </w:p>
        </w:tc>
      </w:tr>
      <w:tr w:rsidR="00D16926" w:rsidRPr="00D73639" w14:paraId="6C47E87F" w14:textId="77777777" w:rsidTr="00D16926">
        <w:trPr>
          <w:cnfStyle w:val="000000010000" w:firstRow="0" w:lastRow="0" w:firstColumn="0" w:lastColumn="0" w:oddVBand="0" w:evenVBand="0" w:oddHBand="0" w:evenHBand="1"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590" w:type="dxa"/>
            <w:noWrap/>
          </w:tcPr>
          <w:p w14:paraId="4892DAF6" w14:textId="77777777" w:rsidR="00D16926" w:rsidRPr="00A24AA3" w:rsidRDefault="00D16926" w:rsidP="0061712B">
            <w:pPr>
              <w:spacing w:after="0"/>
              <w:rPr>
                <w:rFonts w:ascii="Garamond" w:hAnsi="Garamond"/>
                <w:sz w:val="20"/>
                <w:szCs w:val="20"/>
              </w:rPr>
            </w:pPr>
            <w:r w:rsidRPr="00A24AA3">
              <w:rPr>
                <w:rFonts w:ascii="Garamond" w:hAnsi="Garamond"/>
                <w:sz w:val="20"/>
                <w:szCs w:val="20"/>
              </w:rPr>
              <w:t>Health New England (HNE)</w:t>
            </w:r>
          </w:p>
        </w:tc>
        <w:tc>
          <w:tcPr>
            <w:tcW w:w="5490" w:type="dxa"/>
            <w:noWrap/>
          </w:tcPr>
          <w:p w14:paraId="44E6FB6A" w14:textId="77777777" w:rsidR="00D16926" w:rsidRPr="00A24AA3" w:rsidRDefault="00D16926" w:rsidP="00D16926">
            <w:pPr>
              <w:spacing w:after="0"/>
              <w:cnfStyle w:val="000000010000" w:firstRow="0" w:lastRow="0" w:firstColumn="0" w:lastColumn="0" w:oddVBand="0" w:evenVBand="0" w:oddHBand="0" w:evenHBand="1" w:firstRowFirstColumn="0" w:firstRowLastColumn="0" w:lastRowFirstColumn="0" w:lastRowLastColumn="0"/>
              <w:rPr>
                <w:rFonts w:ascii="Garamond" w:hAnsi="Garamond"/>
                <w:sz w:val="20"/>
                <w:szCs w:val="20"/>
              </w:rPr>
            </w:pPr>
            <w:r w:rsidRPr="00A24AA3">
              <w:rPr>
                <w:rFonts w:ascii="Garamond" w:hAnsi="Garamond"/>
                <w:sz w:val="20"/>
                <w:szCs w:val="20"/>
              </w:rPr>
              <w:t xml:space="preserve">Commercial </w:t>
            </w:r>
            <w:r w:rsidR="00EA4DBF">
              <w:rPr>
                <w:rFonts w:ascii="Garamond" w:hAnsi="Garamond"/>
                <w:sz w:val="20"/>
                <w:szCs w:val="20"/>
              </w:rPr>
              <w:t>full-claim</w:t>
            </w:r>
            <w:r w:rsidRPr="00A24AA3">
              <w:rPr>
                <w:rFonts w:ascii="Garamond" w:hAnsi="Garamond"/>
                <w:sz w:val="20"/>
                <w:szCs w:val="20"/>
              </w:rPr>
              <w:t xml:space="preserve">s; </w:t>
            </w:r>
            <w:proofErr w:type="spellStart"/>
            <w:r w:rsidR="002352FB" w:rsidRPr="00A24AA3">
              <w:rPr>
                <w:rFonts w:ascii="Garamond" w:hAnsi="Garamond"/>
                <w:sz w:val="20"/>
                <w:szCs w:val="20"/>
              </w:rPr>
              <w:t>MassHealth</w:t>
            </w:r>
            <w:proofErr w:type="spellEnd"/>
            <w:r w:rsidR="002352FB" w:rsidRPr="00A24AA3">
              <w:rPr>
                <w:rFonts w:ascii="Garamond" w:hAnsi="Garamond"/>
                <w:sz w:val="20"/>
                <w:szCs w:val="20"/>
              </w:rPr>
              <w:t xml:space="preserve"> MCO; </w:t>
            </w:r>
            <w:r w:rsidRPr="00A24AA3">
              <w:rPr>
                <w:rFonts w:ascii="Garamond" w:hAnsi="Garamond"/>
                <w:sz w:val="20"/>
                <w:szCs w:val="20"/>
              </w:rPr>
              <w:t>Medicare Advantage</w:t>
            </w:r>
          </w:p>
        </w:tc>
      </w:tr>
      <w:tr w:rsidR="003249F4" w:rsidRPr="00D73639" w14:paraId="4C7974A2" w14:textId="77777777" w:rsidTr="00D16926">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590" w:type="dxa"/>
            <w:noWrap/>
          </w:tcPr>
          <w:p w14:paraId="1DAF4BEC" w14:textId="77777777" w:rsidR="003249F4" w:rsidRPr="00A24AA3" w:rsidRDefault="003249F4" w:rsidP="0061712B">
            <w:pPr>
              <w:spacing w:after="0"/>
              <w:rPr>
                <w:rFonts w:ascii="Garamond" w:hAnsi="Garamond"/>
                <w:sz w:val="20"/>
                <w:szCs w:val="20"/>
              </w:rPr>
            </w:pPr>
            <w:proofErr w:type="spellStart"/>
            <w:r w:rsidRPr="00A24AA3">
              <w:rPr>
                <w:rFonts w:ascii="Garamond" w:hAnsi="Garamond"/>
                <w:sz w:val="20"/>
                <w:szCs w:val="20"/>
              </w:rPr>
              <w:t>MassHealth</w:t>
            </w:r>
            <w:proofErr w:type="spellEnd"/>
          </w:p>
        </w:tc>
        <w:tc>
          <w:tcPr>
            <w:tcW w:w="5490" w:type="dxa"/>
          </w:tcPr>
          <w:p w14:paraId="690052E8" w14:textId="77777777" w:rsidR="003249F4" w:rsidRPr="00A24AA3" w:rsidRDefault="003249F4" w:rsidP="00D16926">
            <w:pPr>
              <w:spacing w:after="0"/>
              <w:cnfStyle w:val="000000100000" w:firstRow="0" w:lastRow="0" w:firstColumn="0" w:lastColumn="0" w:oddVBand="0" w:evenVBand="0" w:oddHBand="1" w:evenHBand="0" w:firstRowFirstColumn="0" w:firstRowLastColumn="0" w:lastRowFirstColumn="0" w:lastRowLastColumn="0"/>
              <w:rPr>
                <w:rFonts w:ascii="Garamond" w:hAnsi="Garamond"/>
                <w:sz w:val="20"/>
                <w:szCs w:val="20"/>
              </w:rPr>
            </w:pPr>
            <w:proofErr w:type="spellStart"/>
            <w:r w:rsidRPr="00A24AA3">
              <w:rPr>
                <w:rFonts w:ascii="Garamond" w:hAnsi="Garamond"/>
                <w:sz w:val="20"/>
                <w:szCs w:val="20"/>
              </w:rPr>
              <w:t>MassHealth</w:t>
            </w:r>
            <w:proofErr w:type="spellEnd"/>
            <w:r w:rsidRPr="00A24AA3">
              <w:rPr>
                <w:rFonts w:ascii="Garamond" w:hAnsi="Garamond"/>
                <w:sz w:val="20"/>
                <w:szCs w:val="20"/>
              </w:rPr>
              <w:t xml:space="preserve"> Primary Care Clinician (PCC) Plan</w:t>
            </w:r>
          </w:p>
        </w:tc>
      </w:tr>
      <w:tr w:rsidR="00D16926" w:rsidRPr="00D73639" w14:paraId="1A39CE12" w14:textId="77777777" w:rsidTr="00D16926">
        <w:trPr>
          <w:cnfStyle w:val="000000010000" w:firstRow="0" w:lastRow="0" w:firstColumn="0" w:lastColumn="0" w:oddVBand="0" w:evenVBand="0" w:oddHBand="0" w:evenHBand="1"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590" w:type="dxa"/>
            <w:noWrap/>
          </w:tcPr>
          <w:p w14:paraId="6A7C4955" w14:textId="77777777" w:rsidR="00D16926" w:rsidRPr="00A24AA3" w:rsidRDefault="00D16926" w:rsidP="0061712B">
            <w:pPr>
              <w:spacing w:after="0"/>
              <w:rPr>
                <w:rFonts w:ascii="Garamond" w:hAnsi="Garamond"/>
                <w:sz w:val="20"/>
                <w:szCs w:val="20"/>
              </w:rPr>
            </w:pPr>
            <w:r w:rsidRPr="00A24AA3">
              <w:rPr>
                <w:rFonts w:ascii="Garamond" w:hAnsi="Garamond"/>
                <w:sz w:val="20"/>
                <w:szCs w:val="20"/>
              </w:rPr>
              <w:t>Neighborhood Health Plan (NHP)</w:t>
            </w:r>
          </w:p>
        </w:tc>
        <w:tc>
          <w:tcPr>
            <w:tcW w:w="5490" w:type="dxa"/>
          </w:tcPr>
          <w:p w14:paraId="3D1643F4" w14:textId="77777777" w:rsidR="00D16926" w:rsidRPr="00A24AA3" w:rsidRDefault="00D16926" w:rsidP="00D16926">
            <w:pPr>
              <w:spacing w:after="0"/>
              <w:cnfStyle w:val="000000010000" w:firstRow="0" w:lastRow="0" w:firstColumn="0" w:lastColumn="0" w:oddVBand="0" w:evenVBand="0" w:oddHBand="0" w:evenHBand="1" w:firstRowFirstColumn="0" w:firstRowLastColumn="0" w:lastRowFirstColumn="0" w:lastRowLastColumn="0"/>
              <w:rPr>
                <w:rFonts w:ascii="Garamond" w:hAnsi="Garamond"/>
                <w:sz w:val="20"/>
                <w:szCs w:val="20"/>
              </w:rPr>
            </w:pPr>
            <w:r w:rsidRPr="00A24AA3">
              <w:rPr>
                <w:rFonts w:ascii="Garamond" w:hAnsi="Garamond"/>
                <w:sz w:val="20"/>
                <w:szCs w:val="20"/>
              </w:rPr>
              <w:t xml:space="preserve">Commercial </w:t>
            </w:r>
            <w:r w:rsidR="00EA4DBF">
              <w:rPr>
                <w:rFonts w:ascii="Garamond" w:hAnsi="Garamond"/>
                <w:sz w:val="20"/>
                <w:szCs w:val="20"/>
              </w:rPr>
              <w:t>full-claim</w:t>
            </w:r>
            <w:r w:rsidRPr="00A24AA3">
              <w:rPr>
                <w:rFonts w:ascii="Garamond" w:hAnsi="Garamond"/>
                <w:sz w:val="20"/>
                <w:szCs w:val="20"/>
              </w:rPr>
              <w:t>s</w:t>
            </w:r>
            <w:r w:rsidR="002352FB" w:rsidRPr="00A24AA3">
              <w:rPr>
                <w:rFonts w:ascii="Garamond" w:hAnsi="Garamond"/>
                <w:sz w:val="20"/>
                <w:szCs w:val="20"/>
              </w:rPr>
              <w:t xml:space="preserve">; </w:t>
            </w:r>
            <w:proofErr w:type="spellStart"/>
            <w:r w:rsidR="002352FB" w:rsidRPr="00A24AA3">
              <w:rPr>
                <w:rFonts w:ascii="Garamond" w:hAnsi="Garamond"/>
                <w:sz w:val="20"/>
                <w:szCs w:val="20"/>
              </w:rPr>
              <w:t>MassHealth</w:t>
            </w:r>
            <w:proofErr w:type="spellEnd"/>
            <w:r w:rsidR="002352FB" w:rsidRPr="00A24AA3">
              <w:rPr>
                <w:rFonts w:ascii="Garamond" w:hAnsi="Garamond"/>
                <w:sz w:val="20"/>
                <w:szCs w:val="20"/>
              </w:rPr>
              <w:t xml:space="preserve"> MCO</w:t>
            </w:r>
          </w:p>
        </w:tc>
      </w:tr>
      <w:tr w:rsidR="00D16926" w:rsidRPr="00D73639" w14:paraId="5EEBBD11" w14:textId="77777777" w:rsidTr="00D16926">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590" w:type="dxa"/>
            <w:noWrap/>
          </w:tcPr>
          <w:p w14:paraId="36A347A1" w14:textId="77777777" w:rsidR="00D16926" w:rsidRPr="00A24AA3" w:rsidRDefault="00D16926" w:rsidP="0061712B">
            <w:pPr>
              <w:spacing w:after="0"/>
              <w:rPr>
                <w:rFonts w:ascii="Garamond" w:hAnsi="Garamond"/>
                <w:sz w:val="20"/>
                <w:szCs w:val="20"/>
              </w:rPr>
            </w:pPr>
            <w:r w:rsidRPr="00A24AA3">
              <w:rPr>
                <w:rFonts w:ascii="Garamond" w:hAnsi="Garamond"/>
                <w:sz w:val="20"/>
                <w:szCs w:val="20"/>
              </w:rPr>
              <w:t>Network Health (Network Health)</w:t>
            </w:r>
            <w:r w:rsidR="00281816" w:rsidRPr="00A24AA3">
              <w:rPr>
                <w:rFonts w:ascii="Garamond" w:hAnsi="Garamond"/>
                <w:sz w:val="20"/>
                <w:szCs w:val="20"/>
                <w:vertAlign w:val="superscript"/>
              </w:rPr>
              <w:t>*</w:t>
            </w:r>
            <w:r w:rsidR="00CD2C8C" w:rsidRPr="00A24AA3">
              <w:rPr>
                <w:rFonts w:ascii="Garamond" w:hAnsi="Garamond"/>
                <w:sz w:val="20"/>
                <w:szCs w:val="20"/>
                <w:vertAlign w:val="superscript"/>
              </w:rPr>
              <w:t>†</w:t>
            </w:r>
          </w:p>
        </w:tc>
        <w:tc>
          <w:tcPr>
            <w:tcW w:w="5490" w:type="dxa"/>
            <w:noWrap/>
          </w:tcPr>
          <w:p w14:paraId="30FFC315" w14:textId="77777777" w:rsidR="00D16926" w:rsidRPr="00A24AA3" w:rsidRDefault="00D16926" w:rsidP="00AE0130">
            <w:pPr>
              <w:spacing w:after="0"/>
              <w:cnfStyle w:val="000000100000" w:firstRow="0" w:lastRow="0" w:firstColumn="0" w:lastColumn="0" w:oddVBand="0" w:evenVBand="0" w:oddHBand="1" w:evenHBand="0" w:firstRowFirstColumn="0" w:firstRowLastColumn="0" w:lastRowFirstColumn="0" w:lastRowLastColumn="0"/>
              <w:rPr>
                <w:rFonts w:ascii="Garamond" w:hAnsi="Garamond"/>
                <w:sz w:val="20"/>
                <w:szCs w:val="20"/>
              </w:rPr>
            </w:pPr>
            <w:r w:rsidRPr="00A24AA3">
              <w:rPr>
                <w:rFonts w:ascii="Garamond" w:hAnsi="Garamond"/>
                <w:sz w:val="20"/>
                <w:szCs w:val="20"/>
              </w:rPr>
              <w:t xml:space="preserve">Commercial </w:t>
            </w:r>
            <w:r w:rsidR="00EA4DBF">
              <w:rPr>
                <w:rFonts w:ascii="Garamond" w:hAnsi="Garamond"/>
                <w:sz w:val="20"/>
                <w:szCs w:val="20"/>
              </w:rPr>
              <w:t>full-claim</w:t>
            </w:r>
            <w:r w:rsidRPr="00A24AA3">
              <w:rPr>
                <w:rFonts w:ascii="Garamond" w:hAnsi="Garamond"/>
                <w:sz w:val="20"/>
                <w:szCs w:val="20"/>
              </w:rPr>
              <w:t>s (</w:t>
            </w:r>
            <w:r w:rsidR="000F6D1E" w:rsidRPr="00A24AA3">
              <w:rPr>
                <w:rFonts w:ascii="Garamond" w:hAnsi="Garamond"/>
                <w:sz w:val="20"/>
                <w:szCs w:val="20"/>
              </w:rPr>
              <w:t>2013</w:t>
            </w:r>
            <w:r w:rsidRPr="00A24AA3">
              <w:rPr>
                <w:rFonts w:ascii="Garamond" w:hAnsi="Garamond"/>
                <w:sz w:val="20"/>
                <w:szCs w:val="20"/>
              </w:rPr>
              <w:t xml:space="preserve">); </w:t>
            </w:r>
            <w:proofErr w:type="spellStart"/>
            <w:r w:rsidRPr="00A24AA3">
              <w:rPr>
                <w:rFonts w:ascii="Garamond" w:hAnsi="Garamond"/>
                <w:sz w:val="20"/>
                <w:szCs w:val="20"/>
              </w:rPr>
              <w:t>MassHealth</w:t>
            </w:r>
            <w:proofErr w:type="spellEnd"/>
            <w:r w:rsidRPr="00A24AA3">
              <w:rPr>
                <w:rFonts w:ascii="Garamond" w:hAnsi="Garamond"/>
                <w:sz w:val="20"/>
                <w:szCs w:val="20"/>
              </w:rPr>
              <w:t xml:space="preserve"> MCO</w:t>
            </w:r>
            <w:r w:rsidR="002352FB" w:rsidRPr="00A24AA3">
              <w:rPr>
                <w:rFonts w:ascii="Garamond" w:hAnsi="Garamond"/>
                <w:sz w:val="20"/>
                <w:szCs w:val="20"/>
              </w:rPr>
              <w:t xml:space="preserve">; </w:t>
            </w:r>
            <w:proofErr w:type="spellStart"/>
            <w:r w:rsidR="000F6D1E" w:rsidRPr="00A24AA3">
              <w:rPr>
                <w:rFonts w:ascii="Garamond" w:hAnsi="Garamond"/>
                <w:sz w:val="20"/>
                <w:szCs w:val="20"/>
              </w:rPr>
              <w:t>MassHealth</w:t>
            </w:r>
            <w:proofErr w:type="spellEnd"/>
            <w:r w:rsidR="000F6D1E" w:rsidRPr="00A24AA3">
              <w:rPr>
                <w:rFonts w:ascii="Garamond" w:hAnsi="Garamond"/>
                <w:sz w:val="20"/>
                <w:szCs w:val="20"/>
              </w:rPr>
              <w:t xml:space="preserve"> Dual </w:t>
            </w:r>
            <w:r w:rsidR="00AE0130" w:rsidRPr="00A24AA3">
              <w:rPr>
                <w:rFonts w:ascii="Garamond" w:hAnsi="Garamond"/>
                <w:sz w:val="20"/>
                <w:szCs w:val="20"/>
              </w:rPr>
              <w:t>21</w:t>
            </w:r>
            <w:r w:rsidR="000F6D1E" w:rsidRPr="00A24AA3">
              <w:rPr>
                <w:rFonts w:ascii="Garamond" w:hAnsi="Garamond"/>
                <w:sz w:val="20"/>
                <w:szCs w:val="20"/>
              </w:rPr>
              <w:t>-64 (2013); Commonwealth Care</w:t>
            </w:r>
            <w:r w:rsidR="00AE0130" w:rsidRPr="00A24AA3">
              <w:rPr>
                <w:rFonts w:ascii="Garamond" w:hAnsi="Garamond"/>
                <w:sz w:val="20"/>
                <w:szCs w:val="20"/>
              </w:rPr>
              <w:t>; Medical Security Program</w:t>
            </w:r>
          </w:p>
        </w:tc>
      </w:tr>
      <w:tr w:rsidR="00D16926" w:rsidRPr="00D73639" w14:paraId="772FF734" w14:textId="77777777" w:rsidTr="00D16926">
        <w:trPr>
          <w:cnfStyle w:val="000000010000" w:firstRow="0" w:lastRow="0" w:firstColumn="0" w:lastColumn="0" w:oddVBand="0" w:evenVBand="0" w:oddHBand="0" w:evenHBand="1"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590" w:type="dxa"/>
            <w:noWrap/>
          </w:tcPr>
          <w:p w14:paraId="14C1171C" w14:textId="77777777" w:rsidR="00D16926" w:rsidRPr="00A24AA3" w:rsidRDefault="00D16926" w:rsidP="0061712B">
            <w:pPr>
              <w:spacing w:after="0"/>
              <w:rPr>
                <w:rFonts w:ascii="Garamond" w:hAnsi="Garamond"/>
                <w:sz w:val="20"/>
                <w:szCs w:val="20"/>
              </w:rPr>
            </w:pPr>
            <w:r w:rsidRPr="00A24AA3">
              <w:rPr>
                <w:rFonts w:ascii="Garamond" w:hAnsi="Garamond"/>
                <w:sz w:val="20"/>
                <w:szCs w:val="20"/>
              </w:rPr>
              <w:t>Tufts Health Plan (Tufts)</w:t>
            </w:r>
          </w:p>
        </w:tc>
        <w:tc>
          <w:tcPr>
            <w:tcW w:w="5490" w:type="dxa"/>
          </w:tcPr>
          <w:p w14:paraId="4EA05028" w14:textId="77777777" w:rsidR="00D16926" w:rsidRPr="00A24AA3" w:rsidRDefault="00D16926" w:rsidP="00D16926">
            <w:pPr>
              <w:spacing w:after="0"/>
              <w:cnfStyle w:val="000000010000" w:firstRow="0" w:lastRow="0" w:firstColumn="0" w:lastColumn="0" w:oddVBand="0" w:evenVBand="0" w:oddHBand="0" w:evenHBand="1" w:firstRowFirstColumn="0" w:firstRowLastColumn="0" w:lastRowFirstColumn="0" w:lastRowLastColumn="0"/>
              <w:rPr>
                <w:rFonts w:ascii="Garamond" w:hAnsi="Garamond"/>
                <w:sz w:val="20"/>
                <w:szCs w:val="20"/>
              </w:rPr>
            </w:pPr>
            <w:r w:rsidRPr="00A24AA3">
              <w:rPr>
                <w:rFonts w:ascii="Garamond" w:hAnsi="Garamond"/>
                <w:sz w:val="20"/>
                <w:szCs w:val="20"/>
              </w:rPr>
              <w:t xml:space="preserve">Commercial full and </w:t>
            </w:r>
            <w:r w:rsidR="00EA4DBF">
              <w:rPr>
                <w:rFonts w:ascii="Garamond" w:hAnsi="Garamond"/>
                <w:sz w:val="20"/>
                <w:szCs w:val="20"/>
              </w:rPr>
              <w:t>partial-claim</w:t>
            </w:r>
            <w:r w:rsidRPr="00A24AA3">
              <w:rPr>
                <w:rFonts w:ascii="Garamond" w:hAnsi="Garamond"/>
                <w:sz w:val="20"/>
                <w:szCs w:val="20"/>
              </w:rPr>
              <w:t>s; Medicare Advantage</w:t>
            </w:r>
          </w:p>
        </w:tc>
      </w:tr>
      <w:tr w:rsidR="00D16926" w:rsidRPr="00D73639" w14:paraId="1EFA059B" w14:textId="77777777" w:rsidTr="00D16926">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590" w:type="dxa"/>
            <w:noWrap/>
          </w:tcPr>
          <w:p w14:paraId="062B7C95" w14:textId="77777777" w:rsidR="00D16926" w:rsidRPr="00A24AA3" w:rsidRDefault="00D16926" w:rsidP="000F6D1E">
            <w:pPr>
              <w:spacing w:after="0"/>
              <w:rPr>
                <w:rFonts w:ascii="Garamond" w:hAnsi="Garamond"/>
                <w:sz w:val="20"/>
                <w:szCs w:val="20"/>
              </w:rPr>
            </w:pPr>
            <w:proofErr w:type="spellStart"/>
            <w:r w:rsidRPr="00A24AA3">
              <w:rPr>
                <w:rFonts w:ascii="Garamond" w:hAnsi="Garamond"/>
                <w:sz w:val="20"/>
                <w:szCs w:val="20"/>
              </w:rPr>
              <w:t>UniCare</w:t>
            </w:r>
            <w:proofErr w:type="spellEnd"/>
            <w:r w:rsidRPr="00A24AA3">
              <w:rPr>
                <w:rFonts w:ascii="Garamond" w:hAnsi="Garamond"/>
                <w:sz w:val="20"/>
                <w:szCs w:val="20"/>
              </w:rPr>
              <w:t xml:space="preserve"> Health Insurance Company (</w:t>
            </w:r>
            <w:proofErr w:type="spellStart"/>
            <w:r w:rsidRPr="00A24AA3">
              <w:rPr>
                <w:rFonts w:ascii="Garamond" w:hAnsi="Garamond"/>
                <w:sz w:val="20"/>
                <w:szCs w:val="20"/>
              </w:rPr>
              <w:t>UniCare</w:t>
            </w:r>
            <w:proofErr w:type="spellEnd"/>
            <w:r w:rsidRPr="00A24AA3">
              <w:rPr>
                <w:rFonts w:ascii="Garamond" w:hAnsi="Garamond"/>
                <w:sz w:val="20"/>
                <w:szCs w:val="20"/>
              </w:rPr>
              <w:t>)</w:t>
            </w:r>
            <w:r w:rsidR="00DC4103" w:rsidRPr="00A24AA3">
              <w:rPr>
                <w:rFonts w:ascii="Garamond" w:hAnsi="Garamond"/>
                <w:sz w:val="20"/>
                <w:szCs w:val="20"/>
                <w:vertAlign w:val="superscript"/>
              </w:rPr>
              <w:t>§</w:t>
            </w:r>
          </w:p>
        </w:tc>
        <w:tc>
          <w:tcPr>
            <w:tcW w:w="5490" w:type="dxa"/>
          </w:tcPr>
          <w:p w14:paraId="4D5708D1" w14:textId="77777777" w:rsidR="00D16926" w:rsidRPr="00A24AA3" w:rsidRDefault="00D16926" w:rsidP="00D16926">
            <w:pPr>
              <w:spacing w:after="0"/>
              <w:cnfStyle w:val="000000100000" w:firstRow="0" w:lastRow="0" w:firstColumn="0" w:lastColumn="0" w:oddVBand="0" w:evenVBand="0" w:oddHBand="1" w:evenHBand="0" w:firstRowFirstColumn="0" w:firstRowLastColumn="0" w:lastRowFirstColumn="0" w:lastRowLastColumn="0"/>
              <w:rPr>
                <w:rFonts w:ascii="Garamond" w:hAnsi="Garamond"/>
                <w:sz w:val="20"/>
                <w:szCs w:val="20"/>
              </w:rPr>
            </w:pPr>
            <w:r w:rsidRPr="00A24AA3">
              <w:rPr>
                <w:rFonts w:ascii="Garamond" w:hAnsi="Garamond"/>
                <w:sz w:val="20"/>
                <w:szCs w:val="20"/>
              </w:rPr>
              <w:t xml:space="preserve">Commercial </w:t>
            </w:r>
            <w:r w:rsidR="00EA4DBF">
              <w:rPr>
                <w:rFonts w:ascii="Garamond" w:hAnsi="Garamond"/>
                <w:sz w:val="20"/>
                <w:szCs w:val="20"/>
              </w:rPr>
              <w:t>partial-claim</w:t>
            </w:r>
            <w:r w:rsidRPr="00A24AA3">
              <w:rPr>
                <w:rFonts w:ascii="Garamond" w:hAnsi="Garamond"/>
                <w:sz w:val="20"/>
                <w:szCs w:val="20"/>
              </w:rPr>
              <w:t>s</w:t>
            </w:r>
          </w:p>
        </w:tc>
      </w:tr>
      <w:tr w:rsidR="00D16926" w:rsidRPr="00D73639" w14:paraId="5BB5881B" w14:textId="77777777" w:rsidTr="00D16926">
        <w:trPr>
          <w:cnfStyle w:val="000000010000" w:firstRow="0" w:lastRow="0" w:firstColumn="0" w:lastColumn="0" w:oddVBand="0" w:evenVBand="0" w:oddHBand="0" w:evenHBand="1"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590" w:type="dxa"/>
            <w:noWrap/>
          </w:tcPr>
          <w:p w14:paraId="78B5D050" w14:textId="77777777" w:rsidR="00D16926" w:rsidRPr="00A24AA3" w:rsidRDefault="00D16926" w:rsidP="0061712B">
            <w:pPr>
              <w:spacing w:after="0"/>
              <w:rPr>
                <w:rFonts w:ascii="Garamond" w:hAnsi="Garamond"/>
                <w:sz w:val="20"/>
                <w:szCs w:val="20"/>
              </w:rPr>
            </w:pPr>
            <w:r w:rsidRPr="00A24AA3">
              <w:rPr>
                <w:rFonts w:ascii="Garamond" w:hAnsi="Garamond"/>
                <w:sz w:val="20"/>
                <w:szCs w:val="20"/>
              </w:rPr>
              <w:t>United Healthcare Insurance Company (United)</w:t>
            </w:r>
          </w:p>
        </w:tc>
        <w:tc>
          <w:tcPr>
            <w:tcW w:w="5490" w:type="dxa"/>
          </w:tcPr>
          <w:p w14:paraId="7205986D" w14:textId="77777777" w:rsidR="00D16926" w:rsidRPr="00A24AA3" w:rsidRDefault="00D16926" w:rsidP="00D16926">
            <w:pPr>
              <w:spacing w:after="0"/>
              <w:cnfStyle w:val="000000010000" w:firstRow="0" w:lastRow="0" w:firstColumn="0" w:lastColumn="0" w:oddVBand="0" w:evenVBand="0" w:oddHBand="0" w:evenHBand="1" w:firstRowFirstColumn="0" w:firstRowLastColumn="0" w:lastRowFirstColumn="0" w:lastRowLastColumn="0"/>
              <w:rPr>
                <w:rFonts w:ascii="Garamond" w:hAnsi="Garamond"/>
                <w:sz w:val="20"/>
                <w:szCs w:val="20"/>
              </w:rPr>
            </w:pPr>
            <w:r w:rsidRPr="00A24AA3">
              <w:rPr>
                <w:rFonts w:ascii="Garamond" w:hAnsi="Garamond"/>
                <w:sz w:val="20"/>
                <w:szCs w:val="20"/>
              </w:rPr>
              <w:t xml:space="preserve">Commercial </w:t>
            </w:r>
            <w:r w:rsidR="00EA4DBF">
              <w:rPr>
                <w:rFonts w:ascii="Garamond" w:hAnsi="Garamond"/>
                <w:sz w:val="20"/>
                <w:szCs w:val="20"/>
              </w:rPr>
              <w:t>full-claim</w:t>
            </w:r>
            <w:r w:rsidRPr="00A24AA3">
              <w:rPr>
                <w:rFonts w:ascii="Garamond" w:hAnsi="Garamond"/>
                <w:sz w:val="20"/>
                <w:szCs w:val="20"/>
              </w:rPr>
              <w:t>s; Medicare Advantage</w:t>
            </w:r>
          </w:p>
        </w:tc>
      </w:tr>
    </w:tbl>
    <w:p w14:paraId="5E334D0C" w14:textId="77777777" w:rsidR="00D16926" w:rsidRPr="00A24AA3" w:rsidRDefault="004D5235" w:rsidP="007220A9">
      <w:pPr>
        <w:spacing w:after="0"/>
        <w:rPr>
          <w:rFonts w:ascii="Garamond" w:hAnsi="Garamond"/>
          <w:sz w:val="20"/>
        </w:rPr>
      </w:pPr>
      <w:r w:rsidRPr="00A24AA3">
        <w:rPr>
          <w:rFonts w:ascii="Garamond" w:hAnsi="Garamond"/>
          <w:sz w:val="20"/>
        </w:rPr>
        <w:t>*</w:t>
      </w:r>
      <w:r w:rsidR="00E66842" w:rsidRPr="00A24AA3">
        <w:rPr>
          <w:rFonts w:ascii="Garamond" w:hAnsi="Garamond"/>
          <w:sz w:val="20"/>
        </w:rPr>
        <w:t xml:space="preserve"> </w:t>
      </w:r>
      <w:r w:rsidR="00D16926" w:rsidRPr="00A24AA3">
        <w:rPr>
          <w:rFonts w:ascii="Garamond" w:hAnsi="Garamond"/>
          <w:sz w:val="20"/>
        </w:rPr>
        <w:t xml:space="preserve">BMC and Network Health </w:t>
      </w:r>
      <w:r w:rsidR="00F40E28">
        <w:rPr>
          <w:rFonts w:ascii="Garamond" w:hAnsi="Garamond"/>
          <w:sz w:val="20"/>
        </w:rPr>
        <w:t>began reporting</w:t>
      </w:r>
      <w:r w:rsidR="002352FB" w:rsidRPr="00A24AA3">
        <w:rPr>
          <w:rFonts w:ascii="Garamond" w:hAnsi="Garamond"/>
          <w:sz w:val="20"/>
        </w:rPr>
        <w:t xml:space="preserve"> </w:t>
      </w:r>
      <w:r w:rsidR="00D16926" w:rsidRPr="00A24AA3">
        <w:rPr>
          <w:rFonts w:ascii="Garamond" w:hAnsi="Garamond"/>
          <w:sz w:val="20"/>
        </w:rPr>
        <w:t>commercial full-claim TME</w:t>
      </w:r>
      <w:r w:rsidR="002352FB" w:rsidRPr="00A24AA3">
        <w:rPr>
          <w:rFonts w:ascii="Garamond" w:hAnsi="Garamond"/>
          <w:sz w:val="20"/>
        </w:rPr>
        <w:t xml:space="preserve"> </w:t>
      </w:r>
      <w:r w:rsidR="000F6D1E" w:rsidRPr="00A24AA3">
        <w:rPr>
          <w:rFonts w:ascii="Garamond" w:hAnsi="Garamond"/>
          <w:sz w:val="20"/>
        </w:rPr>
        <w:t xml:space="preserve">and APM </w:t>
      </w:r>
      <w:r w:rsidR="002352FB" w:rsidRPr="00A24AA3">
        <w:rPr>
          <w:rFonts w:ascii="Garamond" w:hAnsi="Garamond"/>
          <w:sz w:val="20"/>
        </w:rPr>
        <w:t xml:space="preserve">data </w:t>
      </w:r>
      <w:r w:rsidR="00D16926" w:rsidRPr="00A24AA3">
        <w:rPr>
          <w:rFonts w:ascii="Garamond" w:hAnsi="Garamond"/>
          <w:sz w:val="20"/>
        </w:rPr>
        <w:t>for calendar year 2013</w:t>
      </w:r>
      <w:r w:rsidR="002352FB" w:rsidRPr="00A24AA3">
        <w:rPr>
          <w:rFonts w:ascii="Garamond" w:hAnsi="Garamond"/>
          <w:sz w:val="20"/>
        </w:rPr>
        <w:t xml:space="preserve"> to </w:t>
      </w:r>
      <w:r w:rsidR="00BF13CF" w:rsidRPr="00A24AA3">
        <w:rPr>
          <w:rFonts w:ascii="Garamond" w:hAnsi="Garamond"/>
          <w:sz w:val="20"/>
        </w:rPr>
        <w:t>CHIA</w:t>
      </w:r>
      <w:r w:rsidR="002352FB" w:rsidRPr="00A24AA3">
        <w:rPr>
          <w:rFonts w:ascii="Garamond" w:hAnsi="Garamond"/>
          <w:sz w:val="20"/>
        </w:rPr>
        <w:t xml:space="preserve"> in May 2014</w:t>
      </w:r>
      <w:r w:rsidR="00D16926" w:rsidRPr="00A24AA3">
        <w:rPr>
          <w:rFonts w:ascii="Garamond" w:hAnsi="Garamond"/>
          <w:sz w:val="20"/>
        </w:rPr>
        <w:t>.</w:t>
      </w:r>
    </w:p>
    <w:p w14:paraId="711FAC02" w14:textId="77777777" w:rsidR="00DC4103" w:rsidRPr="00A24AA3" w:rsidRDefault="00DC4103" w:rsidP="007220A9">
      <w:pPr>
        <w:spacing w:after="0"/>
        <w:rPr>
          <w:rFonts w:ascii="Garamond" w:hAnsi="Garamond"/>
          <w:sz w:val="20"/>
        </w:rPr>
      </w:pPr>
      <w:r w:rsidRPr="00A24AA3">
        <w:rPr>
          <w:rFonts w:ascii="Garamond" w:hAnsi="Garamond"/>
          <w:sz w:val="20"/>
        </w:rPr>
        <w:t>† Fallon and Network He</w:t>
      </w:r>
      <w:r w:rsidR="007220A9">
        <w:rPr>
          <w:rFonts w:ascii="Garamond" w:hAnsi="Garamond"/>
          <w:sz w:val="20"/>
        </w:rPr>
        <w:t xml:space="preserve">alth started to report the “One </w:t>
      </w:r>
      <w:r w:rsidRPr="00A24AA3">
        <w:rPr>
          <w:rFonts w:ascii="Garamond" w:hAnsi="Garamond"/>
          <w:sz w:val="20"/>
        </w:rPr>
        <w:t xml:space="preserve">Care” managed care plans for individuals </w:t>
      </w:r>
      <w:r w:rsidR="004E3A50" w:rsidRPr="00A24AA3">
        <w:rPr>
          <w:rFonts w:ascii="Garamond" w:hAnsi="Garamond"/>
          <w:sz w:val="20"/>
        </w:rPr>
        <w:t xml:space="preserve">between ages 21 and 64 </w:t>
      </w:r>
      <w:r w:rsidRPr="00A24AA3">
        <w:rPr>
          <w:rFonts w:ascii="Garamond" w:hAnsi="Garamond"/>
          <w:sz w:val="20"/>
        </w:rPr>
        <w:t>that are dual</w:t>
      </w:r>
      <w:r w:rsidR="00876979">
        <w:rPr>
          <w:rFonts w:ascii="Garamond" w:hAnsi="Garamond"/>
          <w:sz w:val="20"/>
        </w:rPr>
        <w:t>ly</w:t>
      </w:r>
      <w:r w:rsidRPr="00A24AA3">
        <w:rPr>
          <w:rFonts w:ascii="Garamond" w:hAnsi="Garamond"/>
          <w:sz w:val="20"/>
        </w:rPr>
        <w:t xml:space="preserve"> eligible for </w:t>
      </w:r>
      <w:proofErr w:type="spellStart"/>
      <w:r w:rsidRPr="00A24AA3">
        <w:rPr>
          <w:rFonts w:ascii="Garamond" w:hAnsi="Garamond"/>
          <w:sz w:val="20"/>
        </w:rPr>
        <w:t>MassHealth</w:t>
      </w:r>
      <w:proofErr w:type="spellEnd"/>
      <w:r w:rsidRPr="00A24AA3">
        <w:rPr>
          <w:rFonts w:ascii="Garamond" w:hAnsi="Garamond"/>
          <w:sz w:val="20"/>
        </w:rPr>
        <w:t xml:space="preserve"> and Medicare</w:t>
      </w:r>
      <w:r w:rsidR="004E3A50" w:rsidRPr="00A24AA3">
        <w:rPr>
          <w:rFonts w:ascii="Garamond" w:hAnsi="Garamond"/>
          <w:sz w:val="20"/>
        </w:rPr>
        <w:t>, which began in October 2013</w:t>
      </w:r>
      <w:r w:rsidRPr="00A24AA3">
        <w:rPr>
          <w:rFonts w:ascii="Garamond" w:hAnsi="Garamond"/>
          <w:sz w:val="20"/>
        </w:rPr>
        <w:t>.</w:t>
      </w:r>
      <w:r w:rsidR="00CD2C8C" w:rsidRPr="00A24AA3">
        <w:rPr>
          <w:rFonts w:ascii="Garamond" w:hAnsi="Garamond"/>
          <w:sz w:val="20"/>
        </w:rPr>
        <w:t xml:space="preserve"> Fallon also separately reported a managed care plan for the age 65+ dual eligible </w:t>
      </w:r>
      <w:proofErr w:type="gramStart"/>
      <w:r w:rsidR="00CD2C8C" w:rsidRPr="00A24AA3">
        <w:rPr>
          <w:rFonts w:ascii="Garamond" w:hAnsi="Garamond"/>
          <w:sz w:val="20"/>
        </w:rPr>
        <w:t>population</w:t>
      </w:r>
      <w:proofErr w:type="gramEnd"/>
      <w:r w:rsidR="00CD2C8C" w:rsidRPr="00A24AA3">
        <w:rPr>
          <w:rFonts w:ascii="Garamond" w:hAnsi="Garamond"/>
          <w:sz w:val="20"/>
        </w:rPr>
        <w:t xml:space="preserve"> for CYs 2012 and 2013.</w:t>
      </w:r>
    </w:p>
    <w:p w14:paraId="6716C315" w14:textId="77777777" w:rsidR="00E66842" w:rsidRPr="00A24AA3" w:rsidRDefault="00E66842" w:rsidP="007220A9">
      <w:pPr>
        <w:spacing w:after="0"/>
        <w:rPr>
          <w:rFonts w:ascii="Garamond" w:hAnsi="Garamond"/>
          <w:sz w:val="20"/>
        </w:rPr>
      </w:pPr>
      <w:r w:rsidRPr="00A24AA3">
        <w:rPr>
          <w:rFonts w:ascii="Garamond" w:hAnsi="Garamond"/>
          <w:sz w:val="20"/>
        </w:rPr>
        <w:t>¶ HPHC’s commercial partial-claim population is administered by Health Plans Inc.</w:t>
      </w:r>
    </w:p>
    <w:p w14:paraId="6F46EE4B" w14:textId="77777777" w:rsidR="004D5235" w:rsidRPr="00A24AA3" w:rsidRDefault="00DC4103" w:rsidP="004D5235">
      <w:pPr>
        <w:rPr>
          <w:rFonts w:ascii="Garamond" w:hAnsi="Garamond"/>
          <w:sz w:val="20"/>
        </w:rPr>
      </w:pPr>
      <w:r w:rsidRPr="00A24AA3">
        <w:rPr>
          <w:rFonts w:ascii="Garamond" w:hAnsi="Garamond"/>
          <w:sz w:val="20"/>
        </w:rPr>
        <w:t>§</w:t>
      </w:r>
      <w:r w:rsidR="000F6D1E" w:rsidRPr="00A24AA3">
        <w:rPr>
          <w:rFonts w:ascii="Garamond" w:hAnsi="Garamond"/>
          <w:sz w:val="20"/>
        </w:rPr>
        <w:t xml:space="preserve"> </w:t>
      </w:r>
      <w:proofErr w:type="spellStart"/>
      <w:r w:rsidR="004D5235" w:rsidRPr="00A24AA3">
        <w:rPr>
          <w:rFonts w:ascii="Garamond" w:hAnsi="Garamond"/>
          <w:sz w:val="20"/>
        </w:rPr>
        <w:t>UniCare</w:t>
      </w:r>
      <w:proofErr w:type="spellEnd"/>
      <w:r w:rsidR="004D5235" w:rsidRPr="00A24AA3">
        <w:rPr>
          <w:rFonts w:ascii="Garamond" w:hAnsi="Garamond"/>
          <w:sz w:val="20"/>
        </w:rPr>
        <w:t xml:space="preserve"> does not report physician group TME because it </w:t>
      </w:r>
      <w:r w:rsidR="000F6D1E" w:rsidRPr="00A24AA3">
        <w:rPr>
          <w:rFonts w:ascii="Garamond" w:hAnsi="Garamond"/>
          <w:sz w:val="20"/>
        </w:rPr>
        <w:t xml:space="preserve">only </w:t>
      </w:r>
      <w:r w:rsidR="004D5235" w:rsidRPr="00A24AA3">
        <w:rPr>
          <w:rFonts w:ascii="Garamond" w:hAnsi="Garamond"/>
          <w:sz w:val="20"/>
        </w:rPr>
        <w:t xml:space="preserve">offers indemnity plans and its members are not required to select primary care physicians. </w:t>
      </w:r>
    </w:p>
    <w:p w14:paraId="0F30A225" w14:textId="77777777" w:rsidR="00D73639" w:rsidRDefault="005A36AD" w:rsidP="00D073D7">
      <w:pPr>
        <w:spacing w:after="0"/>
        <w:rPr>
          <w:rFonts w:ascii="Garamond" w:hAnsi="Garamond"/>
        </w:rPr>
      </w:pPr>
      <w:r w:rsidRPr="00D73639">
        <w:rPr>
          <w:rFonts w:ascii="Garamond" w:hAnsi="Garamond"/>
          <w:b/>
          <w:color w:val="4F81BD" w:themeColor="accent1"/>
          <w:sz w:val="28"/>
          <w:u w:val="single"/>
        </w:rPr>
        <w:lastRenderedPageBreak/>
        <w:t>Managing Physician Group TME</w:t>
      </w:r>
      <w:r w:rsidR="00F07FE1" w:rsidRPr="00D73639">
        <w:rPr>
          <w:rFonts w:ascii="Garamond" w:hAnsi="Garamond"/>
          <w:b/>
          <w:color w:val="4F81BD" w:themeColor="accent1"/>
          <w:sz w:val="28"/>
          <w:u w:val="single"/>
        </w:rPr>
        <w:t xml:space="preserve"> </w:t>
      </w:r>
    </w:p>
    <w:p w14:paraId="57C91253" w14:textId="77777777" w:rsidR="003058EA" w:rsidRDefault="00F07FE1" w:rsidP="003058EA">
      <w:pPr>
        <w:rPr>
          <w:rFonts w:ascii="Garamond" w:hAnsi="Garamond"/>
        </w:rPr>
      </w:pPr>
      <w:r w:rsidRPr="00D73639">
        <w:rPr>
          <w:rFonts w:ascii="Garamond" w:hAnsi="Garamond"/>
        </w:rPr>
        <w:t>[</w:t>
      </w:r>
      <w:r w:rsidR="00D073D7" w:rsidRPr="00D73639">
        <w:rPr>
          <w:rFonts w:ascii="Garamond" w:hAnsi="Garamond"/>
        </w:rPr>
        <w:t>Metric</w:t>
      </w:r>
      <w:r w:rsidRPr="00D73639">
        <w:rPr>
          <w:rFonts w:ascii="Garamond" w:hAnsi="Garamond"/>
        </w:rPr>
        <w:t xml:space="preserve"> related to </w:t>
      </w:r>
      <w:r w:rsidR="00D073D7">
        <w:rPr>
          <w:rFonts w:ascii="Garamond" w:hAnsi="Garamond"/>
        </w:rPr>
        <w:t>S</w:t>
      </w:r>
      <w:r w:rsidRPr="00D73639">
        <w:rPr>
          <w:rFonts w:ascii="Garamond" w:hAnsi="Garamond"/>
        </w:rPr>
        <w:t>upplement 5]</w:t>
      </w:r>
    </w:p>
    <w:p w14:paraId="57D0CC6C" w14:textId="77777777" w:rsidR="00D073D7" w:rsidRPr="003058EA" w:rsidRDefault="00D073D7" w:rsidP="00D073D7">
      <w:pPr>
        <w:rPr>
          <w:rFonts w:ascii="Garamond" w:hAnsi="Garamond"/>
        </w:rPr>
      </w:pPr>
      <w:r w:rsidRPr="003058EA">
        <w:rPr>
          <w:rFonts w:ascii="Garamond" w:hAnsi="Garamond"/>
          <w:b/>
        </w:rPr>
        <w:t xml:space="preserve">Data Source: </w:t>
      </w:r>
      <w:r w:rsidRPr="003058EA">
        <w:rPr>
          <w:rFonts w:ascii="Garamond" w:hAnsi="Garamond"/>
        </w:rPr>
        <w:t xml:space="preserve">Collected annually by CHIA pursuant to M.G.L. c. 12 C, section 8, from both commercial and public payers. Please see Table TA-1 for a list of payers and reported data. </w:t>
      </w:r>
    </w:p>
    <w:p w14:paraId="003F3603" w14:textId="77777777" w:rsidR="00D073D7" w:rsidRPr="003058EA" w:rsidRDefault="007220A9" w:rsidP="00D073D7">
      <w:pPr>
        <w:rPr>
          <w:rFonts w:ascii="Garamond" w:hAnsi="Garamond"/>
          <w:b/>
        </w:rPr>
      </w:pPr>
      <w:r>
        <w:rPr>
          <w:rFonts w:ascii="Garamond" w:hAnsi="Garamond"/>
          <w:b/>
        </w:rPr>
        <w:t>Data Year</w:t>
      </w:r>
      <w:r w:rsidR="00D073D7" w:rsidRPr="003058EA">
        <w:rPr>
          <w:rFonts w:ascii="Garamond" w:hAnsi="Garamond"/>
          <w:b/>
        </w:rPr>
        <w:t xml:space="preserve">: </w:t>
      </w:r>
      <w:r w:rsidR="00D073D7" w:rsidRPr="003058EA">
        <w:rPr>
          <w:rFonts w:ascii="Garamond" w:hAnsi="Garamond"/>
        </w:rPr>
        <w:t>CYs 2012 and 2013</w:t>
      </w:r>
      <w:r w:rsidR="00D073D7" w:rsidRPr="003058EA">
        <w:rPr>
          <w:rFonts w:ascii="Garamond" w:hAnsi="Garamond"/>
          <w:b/>
        </w:rPr>
        <w:t xml:space="preserve"> </w:t>
      </w:r>
    </w:p>
    <w:p w14:paraId="1407BE59" w14:textId="77777777" w:rsidR="00D073D7" w:rsidRPr="003058EA" w:rsidRDefault="007220A9" w:rsidP="00D073D7">
      <w:pPr>
        <w:rPr>
          <w:rFonts w:ascii="Garamond" w:hAnsi="Garamond"/>
          <w:b/>
        </w:rPr>
      </w:pPr>
      <w:r>
        <w:rPr>
          <w:rFonts w:ascii="Garamond" w:hAnsi="Garamond"/>
          <w:b/>
        </w:rPr>
        <w:t>Definition</w:t>
      </w:r>
      <w:r w:rsidR="00D073D7" w:rsidRPr="003058EA">
        <w:rPr>
          <w:rFonts w:ascii="Garamond" w:hAnsi="Garamond"/>
          <w:b/>
        </w:rPr>
        <w:t>:</w:t>
      </w:r>
    </w:p>
    <w:p w14:paraId="081E2B16" w14:textId="77777777" w:rsidR="00D073D7" w:rsidRPr="003058EA" w:rsidRDefault="00D073D7" w:rsidP="00D073D7">
      <w:pPr>
        <w:rPr>
          <w:rFonts w:ascii="Garamond" w:hAnsi="Garamond"/>
        </w:rPr>
      </w:pPr>
      <w:r w:rsidRPr="00DA5A24">
        <w:rPr>
          <w:rFonts w:ascii="Garamond" w:hAnsi="Garamond"/>
        </w:rPr>
        <w:t>Managing physician group TME</w:t>
      </w:r>
      <w:r w:rsidRPr="003058EA">
        <w:rPr>
          <w:rFonts w:ascii="Garamond" w:hAnsi="Garamond"/>
        </w:rPr>
        <w:t xml:space="preserve"> measures the total health care spending of members whose plans require the selection of a primary care physician associated with a physician group, adjusted for health status. Thus, managing physician group TME reported by each payer contains exclusively managed care member information. The data reported for each physician group include TME for these members, even when care was provided outside of the physician group. Data related to pediatric physician groups were excluded from the physician group TME analyses.</w:t>
      </w:r>
      <w:r w:rsidRPr="003058EA">
        <w:rPr>
          <w:rFonts w:ascii="Garamond" w:hAnsi="Garamond"/>
          <w:vertAlign w:val="superscript"/>
        </w:rPr>
        <w:footnoteReference w:id="9"/>
      </w:r>
    </w:p>
    <w:p w14:paraId="0867A92B" w14:textId="77777777" w:rsidR="00D073D7" w:rsidRPr="00D73639" w:rsidRDefault="00D073D7" w:rsidP="003058EA">
      <w:pPr>
        <w:rPr>
          <w:rFonts w:ascii="Garamond" w:hAnsi="Garamond"/>
          <w:b/>
          <w:color w:val="4F81BD" w:themeColor="accent1"/>
          <w:u w:val="single"/>
        </w:rPr>
      </w:pPr>
    </w:p>
    <w:p w14:paraId="0BD188CF" w14:textId="77777777" w:rsidR="00D073D7" w:rsidRDefault="00D073D7" w:rsidP="00D073D7">
      <w:pPr>
        <w:spacing w:after="0"/>
        <w:rPr>
          <w:rFonts w:ascii="Garamond" w:hAnsi="Garamond"/>
        </w:rPr>
      </w:pPr>
      <w:r w:rsidRPr="00D73639">
        <w:rPr>
          <w:rFonts w:ascii="Garamond" w:hAnsi="Garamond"/>
          <w:b/>
          <w:color w:val="4F81BD" w:themeColor="accent1"/>
          <w:sz w:val="28"/>
          <w:u w:val="single"/>
        </w:rPr>
        <w:t xml:space="preserve">Managing Physician Group </w:t>
      </w:r>
      <w:r>
        <w:rPr>
          <w:rFonts w:ascii="Garamond" w:hAnsi="Garamond"/>
          <w:b/>
          <w:color w:val="4F81BD" w:themeColor="accent1"/>
          <w:sz w:val="28"/>
          <w:u w:val="single"/>
        </w:rPr>
        <w:t>Quality</w:t>
      </w:r>
      <w:r w:rsidRPr="00D73639">
        <w:rPr>
          <w:rFonts w:ascii="Garamond" w:hAnsi="Garamond"/>
          <w:b/>
          <w:color w:val="4F81BD" w:themeColor="accent1"/>
          <w:sz w:val="28"/>
          <w:u w:val="single"/>
        </w:rPr>
        <w:t xml:space="preserve"> </w:t>
      </w:r>
    </w:p>
    <w:p w14:paraId="007A1CFD" w14:textId="77777777" w:rsidR="00D073D7" w:rsidRDefault="00D073D7" w:rsidP="00D073D7">
      <w:pPr>
        <w:rPr>
          <w:rFonts w:ascii="Garamond" w:hAnsi="Garamond"/>
        </w:rPr>
      </w:pPr>
      <w:r w:rsidRPr="00D73639">
        <w:rPr>
          <w:rFonts w:ascii="Garamond" w:hAnsi="Garamond"/>
        </w:rPr>
        <w:t xml:space="preserve">[Metric related to </w:t>
      </w:r>
      <w:r>
        <w:rPr>
          <w:rFonts w:ascii="Garamond" w:hAnsi="Garamond"/>
        </w:rPr>
        <w:t>S</w:t>
      </w:r>
      <w:r w:rsidRPr="00D73639">
        <w:rPr>
          <w:rFonts w:ascii="Garamond" w:hAnsi="Garamond"/>
        </w:rPr>
        <w:t>upplement 5]</w:t>
      </w:r>
    </w:p>
    <w:p w14:paraId="67B6CCE3" w14:textId="77777777" w:rsidR="00D073D7" w:rsidRPr="00D073D7" w:rsidRDefault="00D073D7" w:rsidP="00D073D7">
      <w:pPr>
        <w:jc w:val="both"/>
        <w:rPr>
          <w:rFonts w:ascii="Garamond" w:hAnsi="Garamond"/>
          <w:b/>
          <w:u w:val="single"/>
        </w:rPr>
      </w:pPr>
      <w:r w:rsidRPr="00D073D7">
        <w:rPr>
          <w:rFonts w:ascii="Garamond" w:hAnsi="Garamond"/>
          <w:b/>
          <w:u w:val="single"/>
        </w:rPr>
        <w:t>Metrics: Healthcare Effectiveness Data and Information Set (HEDIS)</w:t>
      </w:r>
    </w:p>
    <w:tbl>
      <w:tblPr>
        <w:tblW w:w="5000" w:type="pct"/>
        <w:tblLook w:val="04A0" w:firstRow="1" w:lastRow="0" w:firstColumn="1" w:lastColumn="0" w:noHBand="0" w:noVBand="1"/>
      </w:tblPr>
      <w:tblGrid>
        <w:gridCol w:w="1429"/>
        <w:gridCol w:w="1880"/>
        <w:gridCol w:w="3204"/>
        <w:gridCol w:w="1470"/>
        <w:gridCol w:w="1145"/>
        <w:gridCol w:w="1168"/>
      </w:tblGrid>
      <w:tr w:rsidR="00D073D7" w:rsidRPr="00D073D7" w14:paraId="438C5855" w14:textId="77777777" w:rsidTr="0061712B">
        <w:trPr>
          <w:trHeight w:val="764"/>
          <w:tblHeader/>
        </w:trPr>
        <w:tc>
          <w:tcPr>
            <w:tcW w:w="694"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6ADF0E97" w14:textId="77777777" w:rsidR="00D073D7" w:rsidRPr="00D073D7" w:rsidRDefault="00D073D7" w:rsidP="00D073D7">
            <w:pPr>
              <w:spacing w:after="0" w:line="240" w:lineRule="auto"/>
              <w:jc w:val="center"/>
              <w:rPr>
                <w:rFonts w:ascii="Garamond" w:eastAsia="Times New Roman" w:hAnsi="Garamond" w:cs="Calibri"/>
                <w:b/>
                <w:bCs/>
                <w:color w:val="FFFFFF" w:themeColor="background1"/>
              </w:rPr>
            </w:pPr>
            <w:r w:rsidRPr="00D073D7">
              <w:rPr>
                <w:rFonts w:ascii="Garamond" w:eastAsia="Times New Roman" w:hAnsi="Garamond" w:cs="Calibri"/>
                <w:b/>
                <w:bCs/>
                <w:color w:val="FFFFFF" w:themeColor="background1"/>
              </w:rPr>
              <w:t>Set</w:t>
            </w:r>
          </w:p>
        </w:tc>
        <w:tc>
          <w:tcPr>
            <w:tcW w:w="913" w:type="pct"/>
            <w:tcBorders>
              <w:top w:val="single" w:sz="4" w:space="0" w:color="auto"/>
              <w:left w:val="nil"/>
              <w:bottom w:val="single" w:sz="4" w:space="0" w:color="auto"/>
              <w:right w:val="single" w:sz="4" w:space="0" w:color="auto"/>
            </w:tcBorders>
            <w:shd w:val="clear" w:color="000000" w:fill="538DD5"/>
            <w:vAlign w:val="center"/>
            <w:hideMark/>
          </w:tcPr>
          <w:p w14:paraId="0A3FA47B" w14:textId="77777777" w:rsidR="00D073D7" w:rsidRPr="00D073D7" w:rsidRDefault="00D073D7" w:rsidP="00D073D7">
            <w:pPr>
              <w:spacing w:after="0" w:line="240" w:lineRule="auto"/>
              <w:jc w:val="center"/>
              <w:rPr>
                <w:rFonts w:ascii="Garamond" w:eastAsia="Times New Roman" w:hAnsi="Garamond" w:cs="Calibri"/>
                <w:b/>
                <w:bCs/>
                <w:color w:val="FFFFFF" w:themeColor="background1"/>
              </w:rPr>
            </w:pPr>
            <w:r w:rsidRPr="00D073D7">
              <w:rPr>
                <w:rFonts w:ascii="Garamond" w:eastAsia="Times New Roman" w:hAnsi="Garamond" w:cs="Calibri"/>
                <w:b/>
                <w:bCs/>
                <w:color w:val="FFFFFF" w:themeColor="background1"/>
              </w:rPr>
              <w:t>Measure Name and ID</w:t>
            </w:r>
          </w:p>
        </w:tc>
        <w:tc>
          <w:tcPr>
            <w:tcW w:w="1556" w:type="pct"/>
            <w:tcBorders>
              <w:top w:val="single" w:sz="4" w:space="0" w:color="auto"/>
              <w:left w:val="nil"/>
              <w:bottom w:val="single" w:sz="4" w:space="0" w:color="auto"/>
              <w:right w:val="single" w:sz="4" w:space="0" w:color="auto"/>
            </w:tcBorders>
            <w:shd w:val="clear" w:color="000000" w:fill="538DD5"/>
            <w:vAlign w:val="center"/>
            <w:hideMark/>
          </w:tcPr>
          <w:p w14:paraId="4695AC45" w14:textId="77777777" w:rsidR="00D073D7" w:rsidRPr="00D073D7" w:rsidRDefault="00D073D7" w:rsidP="00D073D7">
            <w:pPr>
              <w:spacing w:after="0" w:line="240" w:lineRule="auto"/>
              <w:jc w:val="center"/>
              <w:rPr>
                <w:rFonts w:ascii="Garamond" w:eastAsia="Times New Roman" w:hAnsi="Garamond" w:cs="Calibri"/>
                <w:b/>
                <w:bCs/>
                <w:color w:val="FFFFFF" w:themeColor="background1"/>
              </w:rPr>
            </w:pPr>
            <w:r w:rsidRPr="00D073D7">
              <w:rPr>
                <w:rFonts w:ascii="Garamond" w:eastAsia="Times New Roman" w:hAnsi="Garamond" w:cs="Calibri"/>
                <w:b/>
                <w:bCs/>
                <w:color w:val="FFFFFF" w:themeColor="background1"/>
              </w:rPr>
              <w:t>Description</w:t>
            </w:r>
          </w:p>
        </w:tc>
        <w:tc>
          <w:tcPr>
            <w:tcW w:w="714" w:type="pct"/>
            <w:tcBorders>
              <w:top w:val="single" w:sz="4" w:space="0" w:color="auto"/>
              <w:left w:val="nil"/>
              <w:bottom w:val="single" w:sz="4" w:space="0" w:color="auto"/>
              <w:right w:val="single" w:sz="4" w:space="0" w:color="auto"/>
            </w:tcBorders>
            <w:shd w:val="clear" w:color="000000" w:fill="538DD5"/>
            <w:vAlign w:val="center"/>
            <w:hideMark/>
          </w:tcPr>
          <w:p w14:paraId="76FEA5A2" w14:textId="77777777" w:rsidR="00D073D7" w:rsidRPr="00D073D7" w:rsidRDefault="00D073D7" w:rsidP="00D073D7">
            <w:pPr>
              <w:spacing w:after="0" w:line="240" w:lineRule="auto"/>
              <w:jc w:val="center"/>
              <w:rPr>
                <w:rFonts w:ascii="Garamond" w:eastAsia="Times New Roman" w:hAnsi="Garamond" w:cs="Calibri"/>
                <w:b/>
                <w:bCs/>
                <w:color w:val="FFFFFF" w:themeColor="background1"/>
              </w:rPr>
            </w:pPr>
            <w:r w:rsidRPr="00D073D7">
              <w:rPr>
                <w:rFonts w:ascii="Garamond" w:eastAsia="Times New Roman" w:hAnsi="Garamond" w:cs="Calibri"/>
                <w:b/>
                <w:bCs/>
                <w:color w:val="FFFFFF" w:themeColor="background1"/>
              </w:rPr>
              <w:t>Measure Steward &amp; Data Source</w:t>
            </w:r>
          </w:p>
        </w:tc>
        <w:tc>
          <w:tcPr>
            <w:tcW w:w="556" w:type="pct"/>
            <w:tcBorders>
              <w:top w:val="single" w:sz="4" w:space="0" w:color="auto"/>
              <w:left w:val="nil"/>
              <w:bottom w:val="single" w:sz="4" w:space="0" w:color="auto"/>
              <w:right w:val="single" w:sz="4" w:space="0" w:color="auto"/>
            </w:tcBorders>
            <w:shd w:val="clear" w:color="000000" w:fill="538DD5"/>
            <w:vAlign w:val="center"/>
            <w:hideMark/>
          </w:tcPr>
          <w:p w14:paraId="22253E80" w14:textId="77777777" w:rsidR="00D073D7" w:rsidRPr="00D073D7" w:rsidRDefault="00D073D7" w:rsidP="00D073D7">
            <w:pPr>
              <w:spacing w:after="0" w:line="240" w:lineRule="auto"/>
              <w:jc w:val="center"/>
              <w:rPr>
                <w:rFonts w:ascii="Garamond" w:eastAsia="Times New Roman" w:hAnsi="Garamond" w:cs="Calibri"/>
                <w:b/>
                <w:bCs/>
                <w:color w:val="FFFFFF" w:themeColor="background1"/>
              </w:rPr>
            </w:pPr>
            <w:r w:rsidRPr="00D073D7">
              <w:rPr>
                <w:rFonts w:ascii="Garamond" w:eastAsia="Times New Roman" w:hAnsi="Garamond" w:cs="Calibri"/>
                <w:b/>
                <w:bCs/>
                <w:color w:val="FFFFFF" w:themeColor="background1"/>
              </w:rPr>
              <w:t>Measure start date</w:t>
            </w:r>
          </w:p>
        </w:tc>
        <w:tc>
          <w:tcPr>
            <w:tcW w:w="567" w:type="pct"/>
            <w:tcBorders>
              <w:top w:val="single" w:sz="4" w:space="0" w:color="auto"/>
              <w:left w:val="nil"/>
              <w:bottom w:val="single" w:sz="4" w:space="0" w:color="auto"/>
              <w:right w:val="single" w:sz="4" w:space="0" w:color="auto"/>
            </w:tcBorders>
            <w:shd w:val="clear" w:color="000000" w:fill="538DD5"/>
            <w:vAlign w:val="center"/>
            <w:hideMark/>
          </w:tcPr>
          <w:p w14:paraId="09DB77B7" w14:textId="77777777" w:rsidR="00D073D7" w:rsidRPr="00D073D7" w:rsidRDefault="00D073D7" w:rsidP="00D073D7">
            <w:pPr>
              <w:spacing w:after="0" w:line="240" w:lineRule="auto"/>
              <w:jc w:val="center"/>
              <w:rPr>
                <w:rFonts w:ascii="Garamond" w:eastAsia="Times New Roman" w:hAnsi="Garamond" w:cs="Calibri"/>
                <w:b/>
                <w:bCs/>
                <w:color w:val="FFFFFF" w:themeColor="background1"/>
              </w:rPr>
            </w:pPr>
            <w:r w:rsidRPr="00D073D7">
              <w:rPr>
                <w:rFonts w:ascii="Garamond" w:eastAsia="Times New Roman" w:hAnsi="Garamond" w:cs="Calibri"/>
                <w:b/>
                <w:bCs/>
                <w:color w:val="FFFFFF" w:themeColor="background1"/>
              </w:rPr>
              <w:t>Measure end date</w:t>
            </w:r>
          </w:p>
        </w:tc>
      </w:tr>
      <w:tr w:rsidR="00D073D7" w:rsidRPr="00D073D7" w14:paraId="362248EF" w14:textId="77777777" w:rsidTr="0061712B">
        <w:trPr>
          <w:trHeight w:val="129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7A259F33"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HEDIS Women's Health</w:t>
            </w:r>
          </w:p>
        </w:tc>
        <w:tc>
          <w:tcPr>
            <w:tcW w:w="913" w:type="pct"/>
            <w:tcBorders>
              <w:top w:val="single" w:sz="4" w:space="0" w:color="auto"/>
              <w:left w:val="nil"/>
              <w:bottom w:val="single" w:sz="4" w:space="0" w:color="auto"/>
              <w:right w:val="single" w:sz="4" w:space="0" w:color="auto"/>
            </w:tcBorders>
            <w:shd w:val="clear" w:color="auto" w:fill="auto"/>
          </w:tcPr>
          <w:p w14:paraId="10595E11"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Breast Cancer Screening</w:t>
            </w:r>
          </w:p>
        </w:tc>
        <w:tc>
          <w:tcPr>
            <w:tcW w:w="1556" w:type="pct"/>
            <w:tcBorders>
              <w:top w:val="single" w:sz="4" w:space="0" w:color="auto"/>
              <w:left w:val="nil"/>
              <w:bottom w:val="single" w:sz="4" w:space="0" w:color="auto"/>
              <w:right w:val="single" w:sz="4" w:space="0" w:color="auto"/>
            </w:tcBorders>
            <w:shd w:val="clear" w:color="auto" w:fill="auto"/>
          </w:tcPr>
          <w:p w14:paraId="4F7A7370"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shd w:val="clear" w:color="auto" w:fill="FFFFFF"/>
              </w:rPr>
              <w:t>This measure looks at women between 40 to 69 years of age. It shows the percent of those patients who had a mammogram at least once in the past two years.</w:t>
            </w:r>
          </w:p>
        </w:tc>
        <w:tc>
          <w:tcPr>
            <w:tcW w:w="714" w:type="pct"/>
            <w:tcBorders>
              <w:top w:val="single" w:sz="4" w:space="0" w:color="auto"/>
              <w:left w:val="nil"/>
              <w:bottom w:val="single" w:sz="4" w:space="0" w:color="auto"/>
              <w:right w:val="single" w:sz="4" w:space="0" w:color="auto"/>
            </w:tcBorders>
            <w:shd w:val="clear" w:color="auto" w:fill="auto"/>
          </w:tcPr>
          <w:p w14:paraId="27AB718C"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772FC3E0"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7E7A552B"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12/31/2012</w:t>
            </w:r>
          </w:p>
        </w:tc>
      </w:tr>
      <w:tr w:rsidR="00D073D7" w:rsidRPr="00D073D7" w14:paraId="5DCFAC05" w14:textId="77777777" w:rsidTr="0061712B">
        <w:trPr>
          <w:trHeight w:val="1349"/>
        </w:trPr>
        <w:tc>
          <w:tcPr>
            <w:tcW w:w="694" w:type="pct"/>
            <w:tcBorders>
              <w:top w:val="single" w:sz="4" w:space="0" w:color="auto"/>
              <w:left w:val="single" w:sz="4" w:space="0" w:color="auto"/>
              <w:bottom w:val="single" w:sz="4" w:space="0" w:color="auto"/>
              <w:right w:val="single" w:sz="4" w:space="0" w:color="auto"/>
            </w:tcBorders>
            <w:shd w:val="clear" w:color="auto" w:fill="auto"/>
          </w:tcPr>
          <w:p w14:paraId="5C54CB78"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HEDIS Women's Health</w:t>
            </w:r>
          </w:p>
        </w:tc>
        <w:tc>
          <w:tcPr>
            <w:tcW w:w="913" w:type="pct"/>
            <w:tcBorders>
              <w:top w:val="single" w:sz="4" w:space="0" w:color="auto"/>
              <w:left w:val="nil"/>
              <w:bottom w:val="single" w:sz="4" w:space="0" w:color="auto"/>
              <w:right w:val="single" w:sz="4" w:space="0" w:color="auto"/>
            </w:tcBorders>
            <w:shd w:val="clear" w:color="auto" w:fill="auto"/>
          </w:tcPr>
          <w:p w14:paraId="3C0EA1D8"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Cervical Cancer Screening</w:t>
            </w:r>
          </w:p>
        </w:tc>
        <w:tc>
          <w:tcPr>
            <w:tcW w:w="1556" w:type="pct"/>
            <w:tcBorders>
              <w:top w:val="single" w:sz="4" w:space="0" w:color="auto"/>
              <w:left w:val="nil"/>
              <w:bottom w:val="single" w:sz="4" w:space="0" w:color="auto"/>
              <w:right w:val="single" w:sz="4" w:space="0" w:color="auto"/>
            </w:tcBorders>
            <w:shd w:val="clear" w:color="auto" w:fill="auto"/>
          </w:tcPr>
          <w:p w14:paraId="1863C0D9"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shd w:val="clear" w:color="auto" w:fill="FFFFFF"/>
              </w:rPr>
              <w:t>This measure looks at women who are between 21 and 64 years old. It shows the percent of those patients who had a Pap test at least once in the past three years.</w:t>
            </w:r>
          </w:p>
        </w:tc>
        <w:tc>
          <w:tcPr>
            <w:tcW w:w="714" w:type="pct"/>
            <w:tcBorders>
              <w:top w:val="single" w:sz="4" w:space="0" w:color="auto"/>
              <w:left w:val="nil"/>
              <w:bottom w:val="single" w:sz="4" w:space="0" w:color="auto"/>
              <w:right w:val="single" w:sz="4" w:space="0" w:color="auto"/>
            </w:tcBorders>
            <w:shd w:val="clear" w:color="auto" w:fill="auto"/>
          </w:tcPr>
          <w:p w14:paraId="45EA1574"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4045EE10"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55CABD5E"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12/31/2012</w:t>
            </w:r>
          </w:p>
        </w:tc>
      </w:tr>
      <w:tr w:rsidR="00D073D7" w:rsidRPr="00D073D7" w14:paraId="0DBF8DE1" w14:textId="77777777" w:rsidTr="0061712B">
        <w:trPr>
          <w:trHeight w:val="1844"/>
        </w:trPr>
        <w:tc>
          <w:tcPr>
            <w:tcW w:w="694" w:type="pct"/>
            <w:tcBorders>
              <w:top w:val="single" w:sz="4" w:space="0" w:color="auto"/>
              <w:left w:val="single" w:sz="4" w:space="0" w:color="auto"/>
              <w:bottom w:val="single" w:sz="4" w:space="0" w:color="auto"/>
              <w:right w:val="single" w:sz="4" w:space="0" w:color="auto"/>
            </w:tcBorders>
            <w:shd w:val="clear" w:color="auto" w:fill="auto"/>
          </w:tcPr>
          <w:p w14:paraId="030712BD"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HEDIS Diabetes Care</w:t>
            </w:r>
          </w:p>
        </w:tc>
        <w:tc>
          <w:tcPr>
            <w:tcW w:w="913" w:type="pct"/>
            <w:tcBorders>
              <w:top w:val="single" w:sz="4" w:space="0" w:color="auto"/>
              <w:left w:val="nil"/>
              <w:bottom w:val="single" w:sz="4" w:space="0" w:color="auto"/>
              <w:right w:val="single" w:sz="4" w:space="0" w:color="auto"/>
            </w:tcBorders>
            <w:shd w:val="clear" w:color="auto" w:fill="auto"/>
          </w:tcPr>
          <w:p w14:paraId="416684BF"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Comprehensive Diabetes Care - HbA1c Testing</w:t>
            </w:r>
          </w:p>
        </w:tc>
        <w:tc>
          <w:tcPr>
            <w:tcW w:w="1556" w:type="pct"/>
            <w:tcBorders>
              <w:top w:val="single" w:sz="4" w:space="0" w:color="auto"/>
              <w:left w:val="nil"/>
              <w:bottom w:val="single" w:sz="4" w:space="0" w:color="auto"/>
              <w:right w:val="single" w:sz="4" w:space="0" w:color="auto"/>
            </w:tcBorders>
            <w:shd w:val="clear" w:color="auto" w:fill="auto"/>
          </w:tcPr>
          <w:p w14:paraId="14FF740D"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shd w:val="clear" w:color="auto" w:fill="FFFFFF"/>
              </w:rPr>
              <w:t xml:space="preserve">This measure looks at adult patients, age 18-75, who </w:t>
            </w:r>
            <w:proofErr w:type="gramStart"/>
            <w:r w:rsidRPr="00D073D7">
              <w:rPr>
                <w:rFonts w:ascii="Garamond" w:hAnsi="Garamond"/>
                <w:color w:val="000000"/>
                <w:sz w:val="18"/>
                <w:szCs w:val="18"/>
                <w:shd w:val="clear" w:color="auto" w:fill="FFFFFF"/>
              </w:rPr>
              <w:t>have</w:t>
            </w:r>
            <w:proofErr w:type="gramEnd"/>
            <w:r w:rsidRPr="00D073D7">
              <w:rPr>
                <w:rFonts w:ascii="Garamond" w:hAnsi="Garamond"/>
                <w:color w:val="000000"/>
                <w:sz w:val="18"/>
                <w:szCs w:val="18"/>
                <w:shd w:val="clear" w:color="auto" w:fill="FFFFFF"/>
              </w:rPr>
              <w:t xml:space="preserve"> Type 1 or Type 2 diabetes. It shows the percent of those patients who had at least one Hemoglobin A1c (HbA1c) blood test during the past year.</w:t>
            </w:r>
          </w:p>
        </w:tc>
        <w:tc>
          <w:tcPr>
            <w:tcW w:w="714" w:type="pct"/>
            <w:tcBorders>
              <w:top w:val="single" w:sz="4" w:space="0" w:color="auto"/>
              <w:left w:val="nil"/>
              <w:bottom w:val="single" w:sz="4" w:space="0" w:color="auto"/>
              <w:right w:val="single" w:sz="4" w:space="0" w:color="auto"/>
            </w:tcBorders>
            <w:shd w:val="clear" w:color="auto" w:fill="auto"/>
          </w:tcPr>
          <w:p w14:paraId="2713C6FA"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3CC53DC3"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75DF2C9E"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12/31/2012</w:t>
            </w:r>
          </w:p>
        </w:tc>
      </w:tr>
      <w:tr w:rsidR="00D073D7" w:rsidRPr="00D073D7" w14:paraId="18DEE7F2" w14:textId="77777777" w:rsidTr="0061712B">
        <w:trPr>
          <w:trHeight w:val="1709"/>
        </w:trPr>
        <w:tc>
          <w:tcPr>
            <w:tcW w:w="694" w:type="pct"/>
            <w:tcBorders>
              <w:top w:val="single" w:sz="4" w:space="0" w:color="auto"/>
              <w:left w:val="single" w:sz="4" w:space="0" w:color="auto"/>
              <w:bottom w:val="single" w:sz="4" w:space="0" w:color="auto"/>
              <w:right w:val="single" w:sz="4" w:space="0" w:color="auto"/>
            </w:tcBorders>
            <w:shd w:val="clear" w:color="auto" w:fill="auto"/>
          </w:tcPr>
          <w:p w14:paraId="08B2BA8C"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lastRenderedPageBreak/>
              <w:t>HEDIS Diabetes Care</w:t>
            </w:r>
          </w:p>
        </w:tc>
        <w:tc>
          <w:tcPr>
            <w:tcW w:w="913" w:type="pct"/>
            <w:tcBorders>
              <w:top w:val="single" w:sz="4" w:space="0" w:color="auto"/>
              <w:left w:val="nil"/>
              <w:bottom w:val="single" w:sz="4" w:space="0" w:color="auto"/>
              <w:right w:val="single" w:sz="4" w:space="0" w:color="auto"/>
            </w:tcBorders>
            <w:shd w:val="clear" w:color="auto" w:fill="auto"/>
          </w:tcPr>
          <w:p w14:paraId="4BAB3D1D"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Comprehensive Diabetes Care - LDL-C Screening</w:t>
            </w:r>
          </w:p>
        </w:tc>
        <w:tc>
          <w:tcPr>
            <w:tcW w:w="1556" w:type="pct"/>
            <w:tcBorders>
              <w:top w:val="single" w:sz="4" w:space="0" w:color="auto"/>
              <w:left w:val="nil"/>
              <w:bottom w:val="single" w:sz="4" w:space="0" w:color="auto"/>
              <w:right w:val="single" w:sz="4" w:space="0" w:color="auto"/>
            </w:tcBorders>
            <w:shd w:val="clear" w:color="auto" w:fill="auto"/>
          </w:tcPr>
          <w:p w14:paraId="03545A7B"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shd w:val="clear" w:color="auto" w:fill="FFFFFF"/>
              </w:rPr>
              <w:t xml:space="preserve">This measure looks at adult patients, age 18-75, who </w:t>
            </w:r>
            <w:proofErr w:type="gramStart"/>
            <w:r w:rsidRPr="00D073D7">
              <w:rPr>
                <w:rFonts w:ascii="Garamond" w:hAnsi="Garamond"/>
                <w:color w:val="000000"/>
                <w:sz w:val="18"/>
                <w:szCs w:val="18"/>
                <w:shd w:val="clear" w:color="auto" w:fill="FFFFFF"/>
              </w:rPr>
              <w:t>have</w:t>
            </w:r>
            <w:proofErr w:type="gramEnd"/>
            <w:r w:rsidRPr="00D073D7">
              <w:rPr>
                <w:rFonts w:ascii="Garamond" w:hAnsi="Garamond"/>
                <w:color w:val="000000"/>
                <w:sz w:val="18"/>
                <w:szCs w:val="18"/>
                <w:shd w:val="clear" w:color="auto" w:fill="FFFFFF"/>
              </w:rPr>
              <w:t xml:space="preserve"> Type 1 or Type 2 diabetes. It shows the percent of those patients who had a serum cholesterol </w:t>
            </w:r>
            <w:proofErr w:type="gramStart"/>
            <w:r w:rsidRPr="00D073D7">
              <w:rPr>
                <w:rFonts w:ascii="Garamond" w:hAnsi="Garamond"/>
                <w:color w:val="000000"/>
                <w:sz w:val="18"/>
                <w:szCs w:val="18"/>
                <w:shd w:val="clear" w:color="auto" w:fill="FFFFFF"/>
              </w:rPr>
              <w:t>level (</w:t>
            </w:r>
            <w:proofErr w:type="gramEnd"/>
            <w:r w:rsidRPr="00D073D7">
              <w:rPr>
                <w:rFonts w:ascii="Garamond" w:hAnsi="Garamond"/>
                <w:color w:val="000000"/>
                <w:sz w:val="18"/>
                <w:szCs w:val="18"/>
                <w:shd w:val="clear" w:color="auto" w:fill="FFFFFF"/>
              </w:rPr>
              <w:t>LDL-C) screening test during the past year.</w:t>
            </w:r>
          </w:p>
        </w:tc>
        <w:tc>
          <w:tcPr>
            <w:tcW w:w="714" w:type="pct"/>
            <w:tcBorders>
              <w:top w:val="single" w:sz="4" w:space="0" w:color="auto"/>
              <w:left w:val="nil"/>
              <w:bottom w:val="single" w:sz="4" w:space="0" w:color="auto"/>
              <w:right w:val="single" w:sz="4" w:space="0" w:color="auto"/>
            </w:tcBorders>
            <w:shd w:val="clear" w:color="auto" w:fill="auto"/>
          </w:tcPr>
          <w:p w14:paraId="561FC519"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1BD93491"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76C2590B"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12/31/2012</w:t>
            </w:r>
          </w:p>
        </w:tc>
      </w:tr>
      <w:tr w:rsidR="00D073D7" w:rsidRPr="00D073D7" w14:paraId="171EE4F6" w14:textId="77777777" w:rsidTr="0061712B">
        <w:trPr>
          <w:trHeight w:val="1250"/>
        </w:trPr>
        <w:tc>
          <w:tcPr>
            <w:tcW w:w="694" w:type="pct"/>
            <w:tcBorders>
              <w:top w:val="single" w:sz="4" w:space="0" w:color="auto"/>
              <w:left w:val="single" w:sz="4" w:space="0" w:color="auto"/>
              <w:bottom w:val="single" w:sz="4" w:space="0" w:color="auto"/>
              <w:right w:val="single" w:sz="4" w:space="0" w:color="auto"/>
            </w:tcBorders>
            <w:shd w:val="clear" w:color="auto" w:fill="auto"/>
          </w:tcPr>
          <w:p w14:paraId="3A74E696"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HEDIS Diabetes Care</w:t>
            </w:r>
          </w:p>
        </w:tc>
        <w:tc>
          <w:tcPr>
            <w:tcW w:w="913" w:type="pct"/>
            <w:tcBorders>
              <w:top w:val="single" w:sz="4" w:space="0" w:color="auto"/>
              <w:left w:val="nil"/>
              <w:bottom w:val="single" w:sz="4" w:space="0" w:color="auto"/>
              <w:right w:val="single" w:sz="4" w:space="0" w:color="auto"/>
            </w:tcBorders>
            <w:shd w:val="clear" w:color="auto" w:fill="auto"/>
          </w:tcPr>
          <w:p w14:paraId="31BEE0C2"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Comprehensive Diabetes Care - Medical Attention for Nephropathy</w:t>
            </w:r>
          </w:p>
        </w:tc>
        <w:tc>
          <w:tcPr>
            <w:tcW w:w="1556" w:type="pct"/>
            <w:tcBorders>
              <w:top w:val="single" w:sz="4" w:space="0" w:color="auto"/>
              <w:left w:val="nil"/>
              <w:bottom w:val="single" w:sz="4" w:space="0" w:color="auto"/>
              <w:right w:val="single" w:sz="4" w:space="0" w:color="auto"/>
            </w:tcBorders>
            <w:shd w:val="clear" w:color="auto" w:fill="auto"/>
          </w:tcPr>
          <w:p w14:paraId="02C14B45" w14:textId="77777777" w:rsidR="00D073D7" w:rsidRPr="00D073D7" w:rsidRDefault="00D073D7" w:rsidP="00D073D7">
            <w:pPr>
              <w:rPr>
                <w:rFonts w:ascii="Garamond" w:hAnsi="Garamond"/>
                <w:color w:val="000000"/>
                <w:sz w:val="18"/>
                <w:szCs w:val="18"/>
              </w:rPr>
            </w:pPr>
          </w:p>
        </w:tc>
        <w:tc>
          <w:tcPr>
            <w:tcW w:w="714" w:type="pct"/>
            <w:tcBorders>
              <w:top w:val="single" w:sz="4" w:space="0" w:color="auto"/>
              <w:left w:val="nil"/>
              <w:bottom w:val="single" w:sz="4" w:space="0" w:color="auto"/>
              <w:right w:val="single" w:sz="4" w:space="0" w:color="auto"/>
            </w:tcBorders>
            <w:shd w:val="clear" w:color="auto" w:fill="auto"/>
          </w:tcPr>
          <w:p w14:paraId="4C7152E8"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32867B01"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6C29B558"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12/31/2012</w:t>
            </w:r>
          </w:p>
        </w:tc>
      </w:tr>
      <w:tr w:rsidR="00D073D7" w:rsidRPr="00D073D7" w14:paraId="22EB6FB4" w14:textId="77777777" w:rsidTr="0061712B">
        <w:trPr>
          <w:trHeight w:val="1700"/>
        </w:trPr>
        <w:tc>
          <w:tcPr>
            <w:tcW w:w="694" w:type="pct"/>
            <w:tcBorders>
              <w:top w:val="single" w:sz="4" w:space="0" w:color="auto"/>
              <w:left w:val="single" w:sz="4" w:space="0" w:color="auto"/>
              <w:bottom w:val="single" w:sz="4" w:space="0" w:color="auto"/>
              <w:right w:val="single" w:sz="4" w:space="0" w:color="auto"/>
            </w:tcBorders>
            <w:shd w:val="clear" w:color="auto" w:fill="auto"/>
          </w:tcPr>
          <w:p w14:paraId="17426BBD"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HEDIS       Adult Diagnostic and Preventative Care</w:t>
            </w:r>
          </w:p>
        </w:tc>
        <w:tc>
          <w:tcPr>
            <w:tcW w:w="913" w:type="pct"/>
            <w:tcBorders>
              <w:top w:val="single" w:sz="4" w:space="0" w:color="auto"/>
              <w:left w:val="nil"/>
              <w:bottom w:val="single" w:sz="4" w:space="0" w:color="auto"/>
              <w:right w:val="single" w:sz="4" w:space="0" w:color="auto"/>
            </w:tcBorders>
            <w:shd w:val="clear" w:color="auto" w:fill="auto"/>
          </w:tcPr>
          <w:p w14:paraId="6A2BF83E"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 xml:space="preserve">Colorectal Cancer Screening </w:t>
            </w:r>
          </w:p>
        </w:tc>
        <w:tc>
          <w:tcPr>
            <w:tcW w:w="1556" w:type="pct"/>
            <w:tcBorders>
              <w:top w:val="single" w:sz="4" w:space="0" w:color="auto"/>
              <w:left w:val="nil"/>
              <w:bottom w:val="single" w:sz="4" w:space="0" w:color="auto"/>
              <w:right w:val="single" w:sz="4" w:space="0" w:color="auto"/>
            </w:tcBorders>
            <w:shd w:val="clear" w:color="auto" w:fill="auto"/>
          </w:tcPr>
          <w:p w14:paraId="33DF4069"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shd w:val="clear" w:color="auto" w:fill="FFFFFF"/>
              </w:rPr>
              <w:t xml:space="preserve">This measure looks at adult patients (ages 50 to 75), who have had screening for colorectal cancer. This screening is done using one of three tests: colonoscopy, fecal occult blood test (FOBT), or flexible </w:t>
            </w:r>
            <w:proofErr w:type="spellStart"/>
            <w:r w:rsidRPr="00D073D7">
              <w:rPr>
                <w:rFonts w:ascii="Garamond" w:hAnsi="Garamond"/>
                <w:color w:val="000000"/>
                <w:sz w:val="18"/>
                <w:szCs w:val="18"/>
                <w:shd w:val="clear" w:color="auto" w:fill="FFFFFF"/>
              </w:rPr>
              <w:t>sigmoidoscopy</w:t>
            </w:r>
            <w:proofErr w:type="spellEnd"/>
            <w:r w:rsidRPr="00D073D7">
              <w:rPr>
                <w:rFonts w:ascii="Garamond" w:hAnsi="Garamond"/>
                <w:color w:val="000000"/>
                <w:sz w:val="18"/>
                <w:szCs w:val="18"/>
                <w:shd w:val="clear" w:color="auto" w:fill="FFFFFF"/>
              </w:rPr>
              <w:t>.</w:t>
            </w:r>
          </w:p>
        </w:tc>
        <w:tc>
          <w:tcPr>
            <w:tcW w:w="714" w:type="pct"/>
            <w:tcBorders>
              <w:top w:val="single" w:sz="4" w:space="0" w:color="auto"/>
              <w:left w:val="nil"/>
              <w:bottom w:val="single" w:sz="4" w:space="0" w:color="auto"/>
              <w:right w:val="single" w:sz="4" w:space="0" w:color="auto"/>
            </w:tcBorders>
            <w:shd w:val="clear" w:color="auto" w:fill="auto"/>
          </w:tcPr>
          <w:p w14:paraId="16B6C67A"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7CE8F0FC"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0F71FC5F"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12/31/2012</w:t>
            </w:r>
          </w:p>
        </w:tc>
      </w:tr>
      <w:tr w:rsidR="00D073D7" w:rsidRPr="00D073D7" w14:paraId="3E400EA9" w14:textId="77777777" w:rsidTr="0061712B">
        <w:trPr>
          <w:trHeight w:val="229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3D28FFCB"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HEDIS       Adult Diagnostic and Preventative Care</w:t>
            </w:r>
          </w:p>
        </w:tc>
        <w:tc>
          <w:tcPr>
            <w:tcW w:w="913" w:type="pct"/>
            <w:tcBorders>
              <w:top w:val="single" w:sz="4" w:space="0" w:color="auto"/>
              <w:left w:val="nil"/>
              <w:bottom w:val="single" w:sz="4" w:space="0" w:color="auto"/>
              <w:right w:val="single" w:sz="4" w:space="0" w:color="auto"/>
            </w:tcBorders>
            <w:shd w:val="clear" w:color="auto" w:fill="auto"/>
          </w:tcPr>
          <w:p w14:paraId="68E9D973"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 xml:space="preserve">Use of Imaging Studies for Low Back Pain </w:t>
            </w:r>
          </w:p>
        </w:tc>
        <w:tc>
          <w:tcPr>
            <w:tcW w:w="1556" w:type="pct"/>
            <w:tcBorders>
              <w:top w:val="single" w:sz="4" w:space="0" w:color="auto"/>
              <w:left w:val="nil"/>
              <w:bottom w:val="single" w:sz="4" w:space="0" w:color="auto"/>
              <w:right w:val="single" w:sz="4" w:space="0" w:color="auto"/>
            </w:tcBorders>
            <w:shd w:val="clear" w:color="auto" w:fill="auto"/>
          </w:tcPr>
          <w:p w14:paraId="6E47EE49"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shd w:val="clear" w:color="auto" w:fill="FFFFFF"/>
              </w:rPr>
              <w:t>This measure looks at the percent of adult patients (18 to 50 years old) who get imaging tests within 28 days after being diagnosed with lower back pain. Imaging tests include X-rays, MRIs, and CT-scans. A higher score means that more patients did not get imaging tests during this time – which is good.</w:t>
            </w:r>
          </w:p>
        </w:tc>
        <w:tc>
          <w:tcPr>
            <w:tcW w:w="714" w:type="pct"/>
            <w:tcBorders>
              <w:top w:val="single" w:sz="4" w:space="0" w:color="auto"/>
              <w:left w:val="nil"/>
              <w:bottom w:val="single" w:sz="4" w:space="0" w:color="auto"/>
              <w:right w:val="single" w:sz="4" w:space="0" w:color="auto"/>
            </w:tcBorders>
            <w:shd w:val="clear" w:color="auto" w:fill="auto"/>
          </w:tcPr>
          <w:p w14:paraId="588D5ABB"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41DEADA5"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16B87A7F"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12/31/2012</w:t>
            </w:r>
          </w:p>
        </w:tc>
      </w:tr>
      <w:tr w:rsidR="00D073D7" w:rsidRPr="00D073D7" w14:paraId="47C03335" w14:textId="77777777" w:rsidTr="0061712B">
        <w:trPr>
          <w:trHeight w:val="2141"/>
        </w:trPr>
        <w:tc>
          <w:tcPr>
            <w:tcW w:w="694" w:type="pct"/>
            <w:tcBorders>
              <w:top w:val="single" w:sz="4" w:space="0" w:color="auto"/>
              <w:left w:val="single" w:sz="4" w:space="0" w:color="auto"/>
              <w:bottom w:val="single" w:sz="4" w:space="0" w:color="auto"/>
              <w:right w:val="single" w:sz="4" w:space="0" w:color="auto"/>
            </w:tcBorders>
            <w:shd w:val="clear" w:color="auto" w:fill="auto"/>
          </w:tcPr>
          <w:p w14:paraId="3A7F4FE6"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HEDIS Appropriate Use of Medications in Adults</w:t>
            </w:r>
          </w:p>
        </w:tc>
        <w:tc>
          <w:tcPr>
            <w:tcW w:w="913" w:type="pct"/>
            <w:tcBorders>
              <w:top w:val="single" w:sz="4" w:space="0" w:color="auto"/>
              <w:left w:val="nil"/>
              <w:bottom w:val="single" w:sz="4" w:space="0" w:color="auto"/>
              <w:right w:val="single" w:sz="4" w:space="0" w:color="auto"/>
            </w:tcBorders>
            <w:shd w:val="clear" w:color="auto" w:fill="auto"/>
          </w:tcPr>
          <w:p w14:paraId="4128F09D"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Annual Monitoring for Patients on Persistent Medications - Total rate</w:t>
            </w:r>
          </w:p>
        </w:tc>
        <w:tc>
          <w:tcPr>
            <w:tcW w:w="1556" w:type="pct"/>
            <w:tcBorders>
              <w:top w:val="single" w:sz="4" w:space="0" w:color="auto"/>
              <w:left w:val="nil"/>
              <w:bottom w:val="single" w:sz="4" w:space="0" w:color="auto"/>
              <w:right w:val="single" w:sz="4" w:space="0" w:color="auto"/>
            </w:tcBorders>
            <w:shd w:val="clear" w:color="auto" w:fill="auto"/>
          </w:tcPr>
          <w:p w14:paraId="5AA38A81" w14:textId="77777777" w:rsidR="00D073D7" w:rsidRPr="00D073D7" w:rsidRDefault="00D073D7" w:rsidP="00D073D7">
            <w:pPr>
              <w:rPr>
                <w:rFonts w:ascii="Garamond" w:hAnsi="Garamond"/>
                <w:sz w:val="18"/>
                <w:szCs w:val="18"/>
              </w:rPr>
            </w:pPr>
            <w:r w:rsidRPr="00D073D7">
              <w:rPr>
                <w:rFonts w:ascii="Garamond" w:hAnsi="Garamond"/>
                <w:color w:val="000000"/>
                <w:sz w:val="18"/>
                <w:szCs w:val="18"/>
                <w:shd w:val="clear" w:color="auto" w:fill="FFFFFF"/>
              </w:rPr>
              <w:t>The percentage of members 18 years of age and older who received at least 180 treatment days of anticonvulsants during the measurement year and had at least one drug serum concentration level monitoring test for the prescribed drug in the measurement year.</w:t>
            </w:r>
          </w:p>
        </w:tc>
        <w:tc>
          <w:tcPr>
            <w:tcW w:w="714" w:type="pct"/>
            <w:tcBorders>
              <w:top w:val="single" w:sz="4" w:space="0" w:color="auto"/>
              <w:left w:val="nil"/>
              <w:bottom w:val="single" w:sz="4" w:space="0" w:color="auto"/>
              <w:right w:val="single" w:sz="4" w:space="0" w:color="auto"/>
            </w:tcBorders>
            <w:shd w:val="clear" w:color="auto" w:fill="auto"/>
          </w:tcPr>
          <w:p w14:paraId="4F055E0A"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1BF5840C"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34D76EBE"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12/31/2012</w:t>
            </w:r>
          </w:p>
        </w:tc>
      </w:tr>
      <w:tr w:rsidR="00D073D7" w:rsidRPr="00D073D7" w14:paraId="2A0023C2" w14:textId="77777777" w:rsidTr="0061712B">
        <w:trPr>
          <w:trHeight w:val="165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33795D55"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HEDIS Antidepressant Medication Management</w:t>
            </w:r>
          </w:p>
        </w:tc>
        <w:tc>
          <w:tcPr>
            <w:tcW w:w="913" w:type="pct"/>
            <w:tcBorders>
              <w:top w:val="single" w:sz="4" w:space="0" w:color="auto"/>
              <w:left w:val="nil"/>
              <w:bottom w:val="single" w:sz="4" w:space="0" w:color="auto"/>
              <w:right w:val="single" w:sz="4" w:space="0" w:color="auto"/>
            </w:tcBorders>
            <w:shd w:val="clear" w:color="auto" w:fill="auto"/>
          </w:tcPr>
          <w:p w14:paraId="51FE60FE"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Antidepressant Medication Management - Effective Continuation Phase Treatment</w:t>
            </w:r>
          </w:p>
        </w:tc>
        <w:tc>
          <w:tcPr>
            <w:tcW w:w="1556" w:type="pct"/>
            <w:tcBorders>
              <w:top w:val="single" w:sz="4" w:space="0" w:color="auto"/>
              <w:left w:val="nil"/>
              <w:bottom w:val="single" w:sz="4" w:space="0" w:color="auto"/>
              <w:right w:val="single" w:sz="4" w:space="0" w:color="auto"/>
            </w:tcBorders>
            <w:shd w:val="clear" w:color="auto" w:fill="auto"/>
          </w:tcPr>
          <w:p w14:paraId="26DBC552"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shd w:val="clear" w:color="auto" w:fill="FFFFFF"/>
              </w:rPr>
              <w:t>The percentage of members 18 years of age and older who received at least 180 treatment days of anticonvulsants during the measurement year and had at least one drug serum concentration level monitoring test for the prescribed drug in the measurement year.</w:t>
            </w:r>
          </w:p>
        </w:tc>
        <w:tc>
          <w:tcPr>
            <w:tcW w:w="714" w:type="pct"/>
            <w:tcBorders>
              <w:top w:val="single" w:sz="4" w:space="0" w:color="auto"/>
              <w:left w:val="nil"/>
              <w:bottom w:val="single" w:sz="4" w:space="0" w:color="auto"/>
              <w:right w:val="single" w:sz="4" w:space="0" w:color="auto"/>
            </w:tcBorders>
            <w:shd w:val="clear" w:color="auto" w:fill="auto"/>
          </w:tcPr>
          <w:p w14:paraId="582D947C"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67A62DA4"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6D31C930"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12/31/2012</w:t>
            </w:r>
          </w:p>
        </w:tc>
      </w:tr>
      <w:tr w:rsidR="00D073D7" w:rsidRPr="00D073D7" w14:paraId="0A77CC8B" w14:textId="77777777" w:rsidTr="0061712B">
        <w:trPr>
          <w:trHeight w:val="1727"/>
        </w:trPr>
        <w:tc>
          <w:tcPr>
            <w:tcW w:w="694" w:type="pct"/>
            <w:tcBorders>
              <w:top w:val="single" w:sz="4" w:space="0" w:color="auto"/>
              <w:left w:val="single" w:sz="4" w:space="0" w:color="auto"/>
              <w:bottom w:val="single" w:sz="4" w:space="0" w:color="auto"/>
              <w:right w:val="single" w:sz="4" w:space="0" w:color="auto"/>
            </w:tcBorders>
            <w:shd w:val="clear" w:color="auto" w:fill="auto"/>
          </w:tcPr>
          <w:p w14:paraId="6268A3EA"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lastRenderedPageBreak/>
              <w:t>HEDIS Women's Health</w:t>
            </w:r>
          </w:p>
        </w:tc>
        <w:tc>
          <w:tcPr>
            <w:tcW w:w="913" w:type="pct"/>
            <w:tcBorders>
              <w:top w:val="single" w:sz="4" w:space="0" w:color="auto"/>
              <w:left w:val="nil"/>
              <w:bottom w:val="single" w:sz="4" w:space="0" w:color="auto"/>
              <w:right w:val="single" w:sz="4" w:space="0" w:color="auto"/>
            </w:tcBorders>
            <w:shd w:val="clear" w:color="auto" w:fill="auto"/>
          </w:tcPr>
          <w:p w14:paraId="63652B10"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 xml:space="preserve">Chlamydia Screening in Women Ages 21 to 24 </w:t>
            </w:r>
          </w:p>
        </w:tc>
        <w:tc>
          <w:tcPr>
            <w:tcW w:w="1556" w:type="pct"/>
            <w:tcBorders>
              <w:top w:val="single" w:sz="4" w:space="0" w:color="auto"/>
              <w:left w:val="nil"/>
              <w:bottom w:val="single" w:sz="4" w:space="0" w:color="auto"/>
              <w:right w:val="single" w:sz="4" w:space="0" w:color="auto"/>
            </w:tcBorders>
            <w:shd w:val="clear" w:color="auto" w:fill="auto"/>
          </w:tcPr>
          <w:p w14:paraId="3B31E399"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shd w:val="clear" w:color="auto" w:fill="FFFFFF"/>
              </w:rPr>
              <w:t xml:space="preserve">This measure looks at women 21 to 24 years of age who are sexually active (having sex). It shows the percent of those patients who had a </w:t>
            </w:r>
            <w:proofErr w:type="gramStart"/>
            <w:r w:rsidRPr="00D073D7">
              <w:rPr>
                <w:rFonts w:ascii="Garamond" w:hAnsi="Garamond"/>
                <w:color w:val="000000"/>
                <w:sz w:val="18"/>
                <w:szCs w:val="18"/>
                <w:shd w:val="clear" w:color="auto" w:fill="FFFFFF"/>
              </w:rPr>
              <w:t>chlamydia screening</w:t>
            </w:r>
            <w:proofErr w:type="gramEnd"/>
            <w:r w:rsidRPr="00D073D7">
              <w:rPr>
                <w:rFonts w:ascii="Garamond" w:hAnsi="Garamond"/>
                <w:color w:val="000000"/>
                <w:sz w:val="18"/>
                <w:szCs w:val="18"/>
                <w:shd w:val="clear" w:color="auto" w:fill="FFFFFF"/>
              </w:rPr>
              <w:t xml:space="preserve"> test during the past year.</w:t>
            </w:r>
          </w:p>
        </w:tc>
        <w:tc>
          <w:tcPr>
            <w:tcW w:w="714" w:type="pct"/>
            <w:tcBorders>
              <w:top w:val="single" w:sz="4" w:space="0" w:color="auto"/>
              <w:left w:val="nil"/>
              <w:bottom w:val="single" w:sz="4" w:space="0" w:color="auto"/>
              <w:right w:val="single" w:sz="4" w:space="0" w:color="auto"/>
            </w:tcBorders>
            <w:shd w:val="clear" w:color="auto" w:fill="auto"/>
          </w:tcPr>
          <w:p w14:paraId="03F535CF"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711DF5C7"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256ABA3F"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12/31/2012</w:t>
            </w:r>
          </w:p>
        </w:tc>
      </w:tr>
      <w:tr w:rsidR="00D073D7" w:rsidRPr="00D073D7" w14:paraId="04A8C747" w14:textId="77777777" w:rsidTr="0061712B">
        <w:trPr>
          <w:trHeight w:val="66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30EEB92E"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HEDIS Appropriate Use of Medications in Adults</w:t>
            </w:r>
          </w:p>
        </w:tc>
        <w:tc>
          <w:tcPr>
            <w:tcW w:w="913" w:type="pct"/>
            <w:tcBorders>
              <w:top w:val="single" w:sz="4" w:space="0" w:color="auto"/>
              <w:left w:val="nil"/>
              <w:bottom w:val="single" w:sz="4" w:space="0" w:color="auto"/>
              <w:right w:val="single" w:sz="4" w:space="0" w:color="auto"/>
            </w:tcBorders>
            <w:shd w:val="clear" w:color="auto" w:fill="auto"/>
          </w:tcPr>
          <w:p w14:paraId="5142D487"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Annual Monitoring for Patients on Persistent Medications - ACE Inhibitors or ARBs</w:t>
            </w:r>
          </w:p>
        </w:tc>
        <w:tc>
          <w:tcPr>
            <w:tcW w:w="1556" w:type="pct"/>
            <w:tcBorders>
              <w:top w:val="single" w:sz="4" w:space="0" w:color="auto"/>
              <w:left w:val="nil"/>
              <w:bottom w:val="single" w:sz="4" w:space="0" w:color="auto"/>
              <w:right w:val="single" w:sz="4" w:space="0" w:color="auto"/>
            </w:tcBorders>
            <w:shd w:val="clear" w:color="auto" w:fill="auto"/>
          </w:tcPr>
          <w:p w14:paraId="0BE02F70"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shd w:val="clear" w:color="auto" w:fill="FFFFFF"/>
              </w:rPr>
              <w:t>This measure shows the percent of all patients, age 18 or older, who are on long-term ACE (angiotensin converting enzyme) inhibitors or ARBs (angiotensin receptor blockers) for at least six months, and have had at least one lab test in the past year to monitor (check) if the medication is having any unwanted side effects. This measure looks at how often doctors follow up with patients who take either of these types of medications, which are used to treat heart disease, kidney disease, and high blood pressure.</w:t>
            </w:r>
          </w:p>
        </w:tc>
        <w:tc>
          <w:tcPr>
            <w:tcW w:w="714" w:type="pct"/>
            <w:tcBorders>
              <w:top w:val="single" w:sz="4" w:space="0" w:color="auto"/>
              <w:left w:val="nil"/>
              <w:bottom w:val="single" w:sz="4" w:space="0" w:color="auto"/>
              <w:right w:val="single" w:sz="4" w:space="0" w:color="auto"/>
            </w:tcBorders>
            <w:shd w:val="clear" w:color="auto" w:fill="auto"/>
          </w:tcPr>
          <w:p w14:paraId="3288A0D9"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3E8F7169"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1FFE950D"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12/31/2012</w:t>
            </w:r>
          </w:p>
        </w:tc>
      </w:tr>
      <w:tr w:rsidR="00D073D7" w:rsidRPr="00D073D7" w14:paraId="60D0EE83" w14:textId="77777777" w:rsidTr="0061712B">
        <w:trPr>
          <w:trHeight w:val="1574"/>
        </w:trPr>
        <w:tc>
          <w:tcPr>
            <w:tcW w:w="694" w:type="pct"/>
            <w:tcBorders>
              <w:top w:val="single" w:sz="4" w:space="0" w:color="auto"/>
              <w:left w:val="single" w:sz="4" w:space="0" w:color="auto"/>
              <w:bottom w:val="single" w:sz="4" w:space="0" w:color="auto"/>
              <w:right w:val="single" w:sz="4" w:space="0" w:color="auto"/>
            </w:tcBorders>
            <w:shd w:val="clear" w:color="auto" w:fill="auto"/>
          </w:tcPr>
          <w:p w14:paraId="59F1A112"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HEDIS Cardiovascular Disease and Cholesterol Management</w:t>
            </w:r>
          </w:p>
        </w:tc>
        <w:tc>
          <w:tcPr>
            <w:tcW w:w="913" w:type="pct"/>
            <w:tcBorders>
              <w:top w:val="single" w:sz="4" w:space="0" w:color="auto"/>
              <w:left w:val="nil"/>
              <w:bottom w:val="single" w:sz="4" w:space="0" w:color="auto"/>
              <w:right w:val="single" w:sz="4" w:space="0" w:color="auto"/>
            </w:tcBorders>
            <w:shd w:val="clear" w:color="auto" w:fill="auto"/>
          </w:tcPr>
          <w:p w14:paraId="25BD04CF"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Cholesterol Management for Patients with Cardiovascular Conditions--LDL-C Screening</w:t>
            </w:r>
          </w:p>
        </w:tc>
        <w:tc>
          <w:tcPr>
            <w:tcW w:w="1556" w:type="pct"/>
            <w:tcBorders>
              <w:top w:val="single" w:sz="4" w:space="0" w:color="auto"/>
              <w:left w:val="nil"/>
              <w:bottom w:val="single" w:sz="4" w:space="0" w:color="auto"/>
              <w:right w:val="single" w:sz="4" w:space="0" w:color="auto"/>
            </w:tcBorders>
            <w:shd w:val="clear" w:color="auto" w:fill="auto"/>
          </w:tcPr>
          <w:p w14:paraId="5F6E47CC"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shd w:val="clear" w:color="auto" w:fill="FFFFFF"/>
              </w:rPr>
              <w:t xml:space="preserve">This measure looks at adult patients, age 18-75, who </w:t>
            </w:r>
            <w:proofErr w:type="gramStart"/>
            <w:r w:rsidRPr="00D073D7">
              <w:rPr>
                <w:rFonts w:ascii="Garamond" w:hAnsi="Garamond"/>
                <w:color w:val="000000"/>
                <w:sz w:val="18"/>
                <w:szCs w:val="18"/>
                <w:shd w:val="clear" w:color="auto" w:fill="FFFFFF"/>
              </w:rPr>
              <w:t>have</w:t>
            </w:r>
            <w:proofErr w:type="gramEnd"/>
            <w:r w:rsidRPr="00D073D7">
              <w:rPr>
                <w:rFonts w:ascii="Garamond" w:hAnsi="Garamond"/>
                <w:color w:val="000000"/>
                <w:sz w:val="18"/>
                <w:szCs w:val="18"/>
                <w:shd w:val="clear" w:color="auto" w:fill="FFFFFF"/>
              </w:rPr>
              <w:t xml:space="preserve"> Type 1 or Type 2 diabetes. It shows the percent of those patients who had a serum cholesterol </w:t>
            </w:r>
            <w:proofErr w:type="gramStart"/>
            <w:r w:rsidRPr="00D073D7">
              <w:rPr>
                <w:rFonts w:ascii="Garamond" w:hAnsi="Garamond"/>
                <w:color w:val="000000"/>
                <w:sz w:val="18"/>
                <w:szCs w:val="18"/>
                <w:shd w:val="clear" w:color="auto" w:fill="FFFFFF"/>
              </w:rPr>
              <w:t>level (</w:t>
            </w:r>
            <w:proofErr w:type="gramEnd"/>
            <w:r w:rsidRPr="00D073D7">
              <w:rPr>
                <w:rFonts w:ascii="Garamond" w:hAnsi="Garamond"/>
                <w:color w:val="000000"/>
                <w:sz w:val="18"/>
                <w:szCs w:val="18"/>
                <w:shd w:val="clear" w:color="auto" w:fill="FFFFFF"/>
              </w:rPr>
              <w:t>LDL-C) screening test during the past year.</w:t>
            </w:r>
          </w:p>
        </w:tc>
        <w:tc>
          <w:tcPr>
            <w:tcW w:w="714" w:type="pct"/>
            <w:tcBorders>
              <w:top w:val="single" w:sz="4" w:space="0" w:color="auto"/>
              <w:left w:val="nil"/>
              <w:bottom w:val="single" w:sz="4" w:space="0" w:color="auto"/>
              <w:right w:val="single" w:sz="4" w:space="0" w:color="auto"/>
            </w:tcBorders>
            <w:shd w:val="clear" w:color="auto" w:fill="auto"/>
          </w:tcPr>
          <w:p w14:paraId="24C54BB5"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3FF61620"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5EBBAC61"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12/31/2012</w:t>
            </w:r>
          </w:p>
        </w:tc>
      </w:tr>
    </w:tbl>
    <w:p w14:paraId="4A5AF94C" w14:textId="77777777" w:rsidR="00D073D7" w:rsidRPr="00D073D7" w:rsidRDefault="00D073D7" w:rsidP="00D073D7">
      <w:pPr>
        <w:jc w:val="both"/>
        <w:rPr>
          <w:rFonts w:ascii="Garamond" w:hAnsi="Garamond"/>
          <w:b/>
          <w:u w:val="single"/>
        </w:rPr>
      </w:pPr>
    </w:p>
    <w:p w14:paraId="1F1AAD0E" w14:textId="77777777" w:rsidR="00D073D7" w:rsidRPr="00D073D7" w:rsidRDefault="00D073D7" w:rsidP="00D073D7">
      <w:pPr>
        <w:jc w:val="both"/>
        <w:rPr>
          <w:rFonts w:ascii="Garamond" w:hAnsi="Garamond"/>
        </w:rPr>
      </w:pPr>
      <w:r w:rsidRPr="00D073D7">
        <w:rPr>
          <w:rFonts w:ascii="Garamond" w:hAnsi="Garamond"/>
          <w:b/>
        </w:rPr>
        <w:t xml:space="preserve">CHIA Data Source: </w:t>
      </w:r>
      <w:r w:rsidRPr="00D073D7">
        <w:rPr>
          <w:rFonts w:ascii="Garamond" w:hAnsi="Garamond"/>
        </w:rPr>
        <w:t xml:space="preserve">Massachusetts Health Quality Partners (MHQP), 2012 Clinical Quality Data </w:t>
      </w:r>
    </w:p>
    <w:p w14:paraId="5D6DC0C2" w14:textId="77777777" w:rsidR="00D073D7" w:rsidRPr="00D073D7" w:rsidRDefault="00D073D7" w:rsidP="0086184B">
      <w:pPr>
        <w:jc w:val="both"/>
        <w:rPr>
          <w:rFonts w:ascii="Garamond" w:hAnsi="Garamond"/>
        </w:rPr>
      </w:pPr>
      <w:r w:rsidRPr="00D073D7">
        <w:rPr>
          <w:rFonts w:ascii="Garamond" w:hAnsi="Garamond"/>
        </w:rPr>
        <w:t>All performance results in the Annual Report were received from MHQP as pre-calculated percentages.  The HEDIS measures reported are based on data available from MHQP.</w:t>
      </w:r>
    </w:p>
    <w:p w14:paraId="5688C80A" w14:textId="77777777" w:rsidR="00D073D7" w:rsidRPr="00D073D7" w:rsidRDefault="00D073D7" w:rsidP="0086184B">
      <w:pPr>
        <w:jc w:val="both"/>
        <w:rPr>
          <w:rFonts w:ascii="Garamond" w:hAnsi="Garamond"/>
        </w:rPr>
      </w:pPr>
      <w:r w:rsidRPr="00D073D7">
        <w:rPr>
          <w:rFonts w:ascii="Garamond" w:hAnsi="Garamond"/>
        </w:rPr>
        <w:t xml:space="preserve">These measures reflect the care provided to adult, commercially insured members from the five largest commercial carriers:  BCBS, Fallon, </w:t>
      </w:r>
      <w:r w:rsidR="00E47538">
        <w:rPr>
          <w:rFonts w:ascii="Garamond" w:hAnsi="Garamond"/>
        </w:rPr>
        <w:t>HPHC</w:t>
      </w:r>
      <w:r w:rsidRPr="00D073D7">
        <w:rPr>
          <w:rFonts w:ascii="Garamond" w:hAnsi="Garamond"/>
        </w:rPr>
        <w:t xml:space="preserve">, </w:t>
      </w:r>
      <w:r w:rsidR="00E47538">
        <w:rPr>
          <w:rFonts w:ascii="Garamond" w:hAnsi="Garamond"/>
        </w:rPr>
        <w:t>HNE</w:t>
      </w:r>
      <w:r w:rsidRPr="00D073D7">
        <w:rPr>
          <w:rFonts w:ascii="Garamond" w:hAnsi="Garamond"/>
        </w:rPr>
        <w:t xml:space="preserve"> and Tufts.  This sample represents approximately 80% of the commercial population.</w:t>
      </w:r>
    </w:p>
    <w:p w14:paraId="586F013F" w14:textId="77777777" w:rsidR="00D073D7" w:rsidRPr="00D073D7" w:rsidRDefault="00D073D7" w:rsidP="0086184B">
      <w:pPr>
        <w:jc w:val="both"/>
        <w:rPr>
          <w:rFonts w:ascii="Garamond" w:hAnsi="Garamond"/>
        </w:rPr>
      </w:pPr>
      <w:r w:rsidRPr="00D073D7">
        <w:rPr>
          <w:rFonts w:ascii="Garamond" w:hAnsi="Garamond"/>
        </w:rPr>
        <w:t xml:space="preserve">Managing Provider Groups measured are those serving the five carriers’ commercial members.  These groups are:  </w:t>
      </w:r>
      <w:proofErr w:type="spellStart"/>
      <w:r w:rsidRPr="00D073D7">
        <w:rPr>
          <w:rFonts w:ascii="Garamond" w:hAnsi="Garamond"/>
        </w:rPr>
        <w:t>Atrius</w:t>
      </w:r>
      <w:proofErr w:type="spellEnd"/>
      <w:r w:rsidRPr="00D073D7">
        <w:rPr>
          <w:rFonts w:ascii="Garamond" w:hAnsi="Garamond"/>
        </w:rPr>
        <w:t xml:space="preserve"> Health, Inc., </w:t>
      </w:r>
      <w:proofErr w:type="spellStart"/>
      <w:r w:rsidRPr="00D073D7">
        <w:rPr>
          <w:rFonts w:ascii="Garamond" w:hAnsi="Garamond"/>
        </w:rPr>
        <w:t>Baycare</w:t>
      </w:r>
      <w:proofErr w:type="spellEnd"/>
      <w:r w:rsidRPr="00D073D7">
        <w:rPr>
          <w:rFonts w:ascii="Garamond" w:hAnsi="Garamond"/>
        </w:rPr>
        <w:t xml:space="preserve"> Health Partners, Beth Israel Deaconess Care Organization LLC, </w:t>
      </w:r>
      <w:proofErr w:type="spellStart"/>
      <w:r w:rsidRPr="00D073D7">
        <w:rPr>
          <w:rFonts w:ascii="Garamond" w:hAnsi="Garamond"/>
        </w:rPr>
        <w:t>Lahey</w:t>
      </w:r>
      <w:proofErr w:type="spellEnd"/>
      <w:r w:rsidRPr="00D073D7">
        <w:rPr>
          <w:rFonts w:ascii="Garamond" w:hAnsi="Garamond"/>
        </w:rPr>
        <w:t xml:space="preserve"> Hospital and Medical Center, New England Quality Care Alliance, Partners Community Health Care, Steward Health Care Network, and UMass Memorial Health Care, Inc.</w:t>
      </w:r>
    </w:p>
    <w:p w14:paraId="358FB105" w14:textId="77777777" w:rsidR="00D073D7" w:rsidRDefault="00D073D7" w:rsidP="00D073D7">
      <w:pPr>
        <w:ind w:left="720"/>
        <w:jc w:val="both"/>
        <w:rPr>
          <w:rFonts w:ascii="Garamond" w:hAnsi="Garamond"/>
        </w:rPr>
      </w:pPr>
    </w:p>
    <w:p w14:paraId="6486CC34" w14:textId="77777777" w:rsidR="00F40E28" w:rsidRPr="00D073D7" w:rsidRDefault="00F40E28" w:rsidP="00D073D7">
      <w:pPr>
        <w:ind w:left="720"/>
        <w:jc w:val="both"/>
        <w:rPr>
          <w:rFonts w:ascii="Garamond" w:hAnsi="Garamond"/>
        </w:rPr>
      </w:pPr>
    </w:p>
    <w:p w14:paraId="2254DA5B" w14:textId="77777777" w:rsidR="00D073D7" w:rsidRPr="00D073D7" w:rsidRDefault="00D073D7" w:rsidP="00D073D7">
      <w:pPr>
        <w:jc w:val="both"/>
        <w:rPr>
          <w:rFonts w:ascii="Garamond" w:hAnsi="Garamond"/>
          <w:b/>
          <w:u w:val="single"/>
        </w:rPr>
      </w:pPr>
      <w:r w:rsidRPr="00D073D7">
        <w:rPr>
          <w:rFonts w:ascii="Garamond" w:hAnsi="Garamond"/>
          <w:b/>
          <w:u w:val="single"/>
        </w:rPr>
        <w:lastRenderedPageBreak/>
        <w:t>Metrics: Consumer Assessment of Healthcare Providers and Systems – Patient Centered Medical Homes (CAHPS - PCMH)</w:t>
      </w:r>
      <w:r w:rsidRPr="00D073D7">
        <w:rPr>
          <w:rFonts w:ascii="Garamond" w:hAnsi="Garamond"/>
          <w:b/>
        </w:rPr>
        <w:t xml:space="preserve"> </w:t>
      </w:r>
    </w:p>
    <w:tbl>
      <w:tblPr>
        <w:tblW w:w="5000" w:type="pct"/>
        <w:tblLook w:val="04A0" w:firstRow="1" w:lastRow="0" w:firstColumn="1" w:lastColumn="0" w:noHBand="0" w:noVBand="1"/>
      </w:tblPr>
      <w:tblGrid>
        <w:gridCol w:w="1429"/>
        <w:gridCol w:w="1880"/>
        <w:gridCol w:w="3204"/>
        <w:gridCol w:w="1470"/>
        <w:gridCol w:w="1145"/>
        <w:gridCol w:w="1168"/>
      </w:tblGrid>
      <w:tr w:rsidR="00D073D7" w:rsidRPr="00D073D7" w14:paraId="69CEB572" w14:textId="77777777" w:rsidTr="0061712B">
        <w:trPr>
          <w:trHeight w:val="764"/>
          <w:tblHeader/>
        </w:trPr>
        <w:tc>
          <w:tcPr>
            <w:tcW w:w="694"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2C49AB61" w14:textId="77777777" w:rsidR="00D073D7" w:rsidRPr="00D073D7" w:rsidRDefault="00D073D7" w:rsidP="00D073D7">
            <w:pPr>
              <w:spacing w:after="0" w:line="240" w:lineRule="auto"/>
              <w:jc w:val="center"/>
              <w:rPr>
                <w:rFonts w:ascii="Garamond" w:eastAsia="Times New Roman" w:hAnsi="Garamond" w:cs="Calibri"/>
                <w:b/>
                <w:bCs/>
                <w:color w:val="FFFFFF" w:themeColor="background1"/>
              </w:rPr>
            </w:pPr>
            <w:r w:rsidRPr="00D073D7">
              <w:rPr>
                <w:rFonts w:ascii="Garamond" w:eastAsia="Times New Roman" w:hAnsi="Garamond" w:cs="Calibri"/>
                <w:b/>
                <w:bCs/>
                <w:color w:val="FFFFFF" w:themeColor="background1"/>
              </w:rPr>
              <w:t>Set</w:t>
            </w:r>
          </w:p>
        </w:tc>
        <w:tc>
          <w:tcPr>
            <w:tcW w:w="913" w:type="pct"/>
            <w:tcBorders>
              <w:top w:val="single" w:sz="4" w:space="0" w:color="auto"/>
              <w:left w:val="nil"/>
              <w:bottom w:val="single" w:sz="4" w:space="0" w:color="auto"/>
              <w:right w:val="single" w:sz="4" w:space="0" w:color="auto"/>
            </w:tcBorders>
            <w:shd w:val="clear" w:color="000000" w:fill="538DD5"/>
            <w:vAlign w:val="center"/>
            <w:hideMark/>
          </w:tcPr>
          <w:p w14:paraId="2140654F" w14:textId="77777777" w:rsidR="00D073D7" w:rsidRPr="00D073D7" w:rsidRDefault="00D073D7" w:rsidP="00D073D7">
            <w:pPr>
              <w:spacing w:after="0" w:line="240" w:lineRule="auto"/>
              <w:jc w:val="center"/>
              <w:rPr>
                <w:rFonts w:ascii="Garamond" w:eastAsia="Times New Roman" w:hAnsi="Garamond" w:cs="Calibri"/>
                <w:b/>
                <w:bCs/>
                <w:color w:val="FFFFFF" w:themeColor="background1"/>
              </w:rPr>
            </w:pPr>
            <w:r w:rsidRPr="00D073D7">
              <w:rPr>
                <w:rFonts w:ascii="Garamond" w:eastAsia="Times New Roman" w:hAnsi="Garamond" w:cs="Calibri"/>
                <w:b/>
                <w:bCs/>
                <w:color w:val="FFFFFF" w:themeColor="background1"/>
              </w:rPr>
              <w:t>Measure Name and ID</w:t>
            </w:r>
          </w:p>
        </w:tc>
        <w:tc>
          <w:tcPr>
            <w:tcW w:w="1556" w:type="pct"/>
            <w:tcBorders>
              <w:top w:val="single" w:sz="4" w:space="0" w:color="auto"/>
              <w:left w:val="nil"/>
              <w:bottom w:val="single" w:sz="4" w:space="0" w:color="auto"/>
              <w:right w:val="single" w:sz="4" w:space="0" w:color="auto"/>
            </w:tcBorders>
            <w:shd w:val="clear" w:color="000000" w:fill="538DD5"/>
            <w:vAlign w:val="center"/>
            <w:hideMark/>
          </w:tcPr>
          <w:p w14:paraId="3E7B3C99" w14:textId="77777777" w:rsidR="00D073D7" w:rsidRPr="00D073D7" w:rsidRDefault="00D073D7" w:rsidP="00D073D7">
            <w:pPr>
              <w:spacing w:after="0" w:line="240" w:lineRule="auto"/>
              <w:jc w:val="center"/>
              <w:rPr>
                <w:rFonts w:ascii="Garamond" w:eastAsia="Times New Roman" w:hAnsi="Garamond" w:cs="Calibri"/>
                <w:b/>
                <w:bCs/>
                <w:color w:val="FFFFFF" w:themeColor="background1"/>
              </w:rPr>
            </w:pPr>
            <w:r w:rsidRPr="00D073D7">
              <w:rPr>
                <w:rFonts w:ascii="Garamond" w:eastAsia="Times New Roman" w:hAnsi="Garamond" w:cs="Calibri"/>
                <w:b/>
                <w:bCs/>
                <w:color w:val="FFFFFF" w:themeColor="background1"/>
              </w:rPr>
              <w:t>Description</w:t>
            </w:r>
          </w:p>
        </w:tc>
        <w:tc>
          <w:tcPr>
            <w:tcW w:w="714" w:type="pct"/>
            <w:tcBorders>
              <w:top w:val="single" w:sz="4" w:space="0" w:color="auto"/>
              <w:left w:val="nil"/>
              <w:bottom w:val="single" w:sz="4" w:space="0" w:color="auto"/>
              <w:right w:val="single" w:sz="4" w:space="0" w:color="auto"/>
            </w:tcBorders>
            <w:shd w:val="clear" w:color="000000" w:fill="538DD5"/>
            <w:vAlign w:val="center"/>
            <w:hideMark/>
          </w:tcPr>
          <w:p w14:paraId="18D09C91" w14:textId="77777777" w:rsidR="00D073D7" w:rsidRPr="00D073D7" w:rsidRDefault="00D073D7" w:rsidP="00D073D7">
            <w:pPr>
              <w:spacing w:after="0" w:line="240" w:lineRule="auto"/>
              <w:jc w:val="center"/>
              <w:rPr>
                <w:rFonts w:ascii="Garamond" w:eastAsia="Times New Roman" w:hAnsi="Garamond" w:cs="Calibri"/>
                <w:b/>
                <w:bCs/>
                <w:color w:val="FFFFFF" w:themeColor="background1"/>
              </w:rPr>
            </w:pPr>
            <w:r w:rsidRPr="00D073D7">
              <w:rPr>
                <w:rFonts w:ascii="Garamond" w:eastAsia="Times New Roman" w:hAnsi="Garamond" w:cs="Calibri"/>
                <w:b/>
                <w:bCs/>
                <w:color w:val="FFFFFF" w:themeColor="background1"/>
              </w:rPr>
              <w:t>Measure Steward &amp; Data Source</w:t>
            </w:r>
          </w:p>
        </w:tc>
        <w:tc>
          <w:tcPr>
            <w:tcW w:w="556" w:type="pct"/>
            <w:tcBorders>
              <w:top w:val="single" w:sz="4" w:space="0" w:color="auto"/>
              <w:left w:val="nil"/>
              <w:bottom w:val="single" w:sz="4" w:space="0" w:color="auto"/>
              <w:right w:val="single" w:sz="4" w:space="0" w:color="auto"/>
            </w:tcBorders>
            <w:shd w:val="clear" w:color="000000" w:fill="538DD5"/>
            <w:vAlign w:val="center"/>
            <w:hideMark/>
          </w:tcPr>
          <w:p w14:paraId="16131822" w14:textId="77777777" w:rsidR="00D073D7" w:rsidRPr="00D073D7" w:rsidRDefault="00D073D7" w:rsidP="00D073D7">
            <w:pPr>
              <w:spacing w:after="0" w:line="240" w:lineRule="auto"/>
              <w:jc w:val="center"/>
              <w:rPr>
                <w:rFonts w:ascii="Garamond" w:eastAsia="Times New Roman" w:hAnsi="Garamond" w:cs="Calibri"/>
                <w:b/>
                <w:bCs/>
                <w:color w:val="FFFFFF" w:themeColor="background1"/>
              </w:rPr>
            </w:pPr>
            <w:r w:rsidRPr="00D073D7">
              <w:rPr>
                <w:rFonts w:ascii="Garamond" w:eastAsia="Times New Roman" w:hAnsi="Garamond" w:cs="Calibri"/>
                <w:b/>
                <w:bCs/>
                <w:color w:val="FFFFFF" w:themeColor="background1"/>
              </w:rPr>
              <w:t>Measure start date</w:t>
            </w:r>
          </w:p>
        </w:tc>
        <w:tc>
          <w:tcPr>
            <w:tcW w:w="567" w:type="pct"/>
            <w:tcBorders>
              <w:top w:val="single" w:sz="4" w:space="0" w:color="auto"/>
              <w:left w:val="nil"/>
              <w:bottom w:val="single" w:sz="4" w:space="0" w:color="auto"/>
              <w:right w:val="single" w:sz="4" w:space="0" w:color="auto"/>
            </w:tcBorders>
            <w:shd w:val="clear" w:color="000000" w:fill="538DD5"/>
            <w:vAlign w:val="center"/>
            <w:hideMark/>
          </w:tcPr>
          <w:p w14:paraId="75917F54" w14:textId="77777777" w:rsidR="00D073D7" w:rsidRPr="00D073D7" w:rsidRDefault="00D073D7" w:rsidP="00D073D7">
            <w:pPr>
              <w:spacing w:after="0" w:line="240" w:lineRule="auto"/>
              <w:jc w:val="center"/>
              <w:rPr>
                <w:rFonts w:ascii="Garamond" w:eastAsia="Times New Roman" w:hAnsi="Garamond" w:cs="Calibri"/>
                <w:b/>
                <w:bCs/>
                <w:color w:val="FFFFFF" w:themeColor="background1"/>
              </w:rPr>
            </w:pPr>
            <w:r w:rsidRPr="00D073D7">
              <w:rPr>
                <w:rFonts w:ascii="Garamond" w:eastAsia="Times New Roman" w:hAnsi="Garamond" w:cs="Calibri"/>
                <w:b/>
                <w:bCs/>
                <w:color w:val="FFFFFF" w:themeColor="background1"/>
              </w:rPr>
              <w:t>Measure end date</w:t>
            </w:r>
          </w:p>
        </w:tc>
      </w:tr>
      <w:tr w:rsidR="00D073D7" w:rsidRPr="00D073D7" w14:paraId="66E13131" w14:textId="77777777" w:rsidTr="0061712B">
        <w:trPr>
          <w:trHeight w:val="1358"/>
        </w:trPr>
        <w:tc>
          <w:tcPr>
            <w:tcW w:w="694" w:type="pct"/>
            <w:tcBorders>
              <w:top w:val="single" w:sz="4" w:space="0" w:color="auto"/>
              <w:left w:val="single" w:sz="4" w:space="0" w:color="auto"/>
              <w:bottom w:val="single" w:sz="4" w:space="0" w:color="auto"/>
              <w:right w:val="single" w:sz="4" w:space="0" w:color="auto"/>
            </w:tcBorders>
            <w:shd w:val="clear" w:color="auto" w:fill="auto"/>
          </w:tcPr>
          <w:p w14:paraId="3A13C10A"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Patient Experience Survey</w:t>
            </w:r>
          </w:p>
        </w:tc>
        <w:tc>
          <w:tcPr>
            <w:tcW w:w="913" w:type="pct"/>
            <w:tcBorders>
              <w:top w:val="single" w:sz="4" w:space="0" w:color="auto"/>
              <w:left w:val="nil"/>
              <w:bottom w:val="single" w:sz="4" w:space="0" w:color="auto"/>
              <w:right w:val="single" w:sz="4" w:space="0" w:color="auto"/>
            </w:tcBorders>
            <w:shd w:val="clear" w:color="auto" w:fill="auto"/>
          </w:tcPr>
          <w:p w14:paraId="22E16251"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Organizational Access</w:t>
            </w:r>
          </w:p>
        </w:tc>
        <w:tc>
          <w:tcPr>
            <w:tcW w:w="1556" w:type="pct"/>
            <w:tcBorders>
              <w:top w:val="single" w:sz="4" w:space="0" w:color="auto"/>
              <w:left w:val="nil"/>
              <w:bottom w:val="single" w:sz="4" w:space="0" w:color="auto"/>
              <w:right w:val="single" w:sz="4" w:space="0" w:color="auto"/>
            </w:tcBorders>
            <w:shd w:val="clear" w:color="auto" w:fill="auto"/>
          </w:tcPr>
          <w:p w14:paraId="3B85946B"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 xml:space="preserve">The percentage </w:t>
            </w:r>
            <w:r w:rsidRPr="00D073D7">
              <w:rPr>
                <w:rFonts w:ascii="Garamond" w:eastAsia="Times New Roman" w:hAnsi="Garamond" w:cs="Calibri"/>
                <w:sz w:val="18"/>
                <w:szCs w:val="18"/>
              </w:rPr>
              <w:t xml:space="preserve">of patients who responded to the CAHPS-PCMH survey who were </w:t>
            </w:r>
            <w:r w:rsidRPr="00D073D7">
              <w:rPr>
                <w:rFonts w:ascii="Garamond" w:hAnsi="Garamond"/>
                <w:color w:val="000000"/>
                <w:sz w:val="18"/>
                <w:szCs w:val="18"/>
              </w:rPr>
              <w:t>satisfied with their ability to get timely appointments, care, and information.</w:t>
            </w:r>
          </w:p>
        </w:tc>
        <w:tc>
          <w:tcPr>
            <w:tcW w:w="714" w:type="pct"/>
            <w:tcBorders>
              <w:top w:val="single" w:sz="4" w:space="0" w:color="auto"/>
              <w:left w:val="nil"/>
              <w:bottom w:val="single" w:sz="4" w:space="0" w:color="auto"/>
              <w:right w:val="single" w:sz="4" w:space="0" w:color="auto"/>
            </w:tcBorders>
            <w:shd w:val="clear" w:color="auto" w:fill="auto"/>
          </w:tcPr>
          <w:p w14:paraId="0E9BA24B"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03ADCD6C"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3DAE6839"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12/31/2013</w:t>
            </w:r>
          </w:p>
        </w:tc>
      </w:tr>
      <w:tr w:rsidR="00D073D7" w:rsidRPr="00D073D7" w14:paraId="26F3EA20" w14:textId="77777777" w:rsidTr="0061712B">
        <w:trPr>
          <w:trHeight w:val="1331"/>
        </w:trPr>
        <w:tc>
          <w:tcPr>
            <w:tcW w:w="694" w:type="pct"/>
            <w:tcBorders>
              <w:top w:val="single" w:sz="4" w:space="0" w:color="auto"/>
              <w:left w:val="single" w:sz="4" w:space="0" w:color="auto"/>
              <w:bottom w:val="single" w:sz="4" w:space="0" w:color="auto"/>
              <w:right w:val="single" w:sz="4" w:space="0" w:color="auto"/>
            </w:tcBorders>
            <w:shd w:val="clear" w:color="auto" w:fill="auto"/>
          </w:tcPr>
          <w:p w14:paraId="68290083" w14:textId="77777777" w:rsidR="00D073D7" w:rsidRPr="00D073D7" w:rsidRDefault="00D073D7" w:rsidP="00D073D7">
            <w:pPr>
              <w:rPr>
                <w:rFonts w:ascii="Garamond" w:hAnsi="Garamond"/>
                <w:sz w:val="18"/>
                <w:szCs w:val="18"/>
              </w:rPr>
            </w:pPr>
            <w:r w:rsidRPr="00D073D7">
              <w:rPr>
                <w:rFonts w:ascii="Garamond" w:hAnsi="Garamond"/>
                <w:color w:val="000000"/>
                <w:sz w:val="18"/>
                <w:szCs w:val="18"/>
              </w:rPr>
              <w:t>Patient Experience Survey</w:t>
            </w:r>
          </w:p>
        </w:tc>
        <w:tc>
          <w:tcPr>
            <w:tcW w:w="913" w:type="pct"/>
            <w:tcBorders>
              <w:top w:val="single" w:sz="4" w:space="0" w:color="auto"/>
              <w:left w:val="nil"/>
              <w:bottom w:val="single" w:sz="4" w:space="0" w:color="auto"/>
              <w:right w:val="single" w:sz="4" w:space="0" w:color="auto"/>
            </w:tcBorders>
            <w:shd w:val="clear" w:color="auto" w:fill="auto"/>
          </w:tcPr>
          <w:p w14:paraId="08058805"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Office Staff</w:t>
            </w:r>
          </w:p>
        </w:tc>
        <w:tc>
          <w:tcPr>
            <w:tcW w:w="1556" w:type="pct"/>
            <w:tcBorders>
              <w:top w:val="single" w:sz="4" w:space="0" w:color="auto"/>
              <w:left w:val="nil"/>
              <w:bottom w:val="single" w:sz="4" w:space="0" w:color="auto"/>
              <w:right w:val="single" w:sz="4" w:space="0" w:color="auto"/>
            </w:tcBorders>
            <w:shd w:val="clear" w:color="auto" w:fill="auto"/>
          </w:tcPr>
          <w:p w14:paraId="573FE6E8"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 xml:space="preserve">The percentage </w:t>
            </w:r>
            <w:r w:rsidRPr="00D073D7">
              <w:rPr>
                <w:rFonts w:ascii="Garamond" w:eastAsia="Times New Roman" w:hAnsi="Garamond" w:cs="Calibri"/>
                <w:sz w:val="18"/>
                <w:szCs w:val="18"/>
              </w:rPr>
              <w:t xml:space="preserve">of patients who responded to the CAHPS-PCMH survey who were </w:t>
            </w:r>
            <w:r w:rsidRPr="00D073D7">
              <w:rPr>
                <w:rFonts w:ascii="Garamond" w:hAnsi="Garamond"/>
                <w:color w:val="000000"/>
                <w:sz w:val="18"/>
                <w:szCs w:val="18"/>
              </w:rPr>
              <w:t>satisfied that they received quality care from staff in the doctors’ office.</w:t>
            </w:r>
          </w:p>
        </w:tc>
        <w:tc>
          <w:tcPr>
            <w:tcW w:w="714" w:type="pct"/>
            <w:tcBorders>
              <w:top w:val="single" w:sz="4" w:space="0" w:color="auto"/>
              <w:left w:val="nil"/>
              <w:bottom w:val="single" w:sz="4" w:space="0" w:color="auto"/>
              <w:right w:val="single" w:sz="4" w:space="0" w:color="auto"/>
            </w:tcBorders>
            <w:shd w:val="clear" w:color="auto" w:fill="auto"/>
          </w:tcPr>
          <w:p w14:paraId="498A29DF"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547536D0"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2FC4AB7F"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12/31/2013</w:t>
            </w:r>
          </w:p>
        </w:tc>
      </w:tr>
      <w:tr w:rsidR="00D073D7" w:rsidRPr="00D073D7" w14:paraId="7194625E" w14:textId="77777777" w:rsidTr="0061712B">
        <w:trPr>
          <w:trHeight w:val="111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76698FEF" w14:textId="77777777" w:rsidR="00D073D7" w:rsidRPr="00D073D7" w:rsidRDefault="00D073D7" w:rsidP="00D073D7">
            <w:pPr>
              <w:rPr>
                <w:rFonts w:ascii="Garamond" w:hAnsi="Garamond"/>
                <w:sz w:val="18"/>
                <w:szCs w:val="18"/>
              </w:rPr>
            </w:pPr>
            <w:r w:rsidRPr="00D073D7">
              <w:rPr>
                <w:rFonts w:ascii="Garamond" w:hAnsi="Garamond"/>
                <w:color w:val="000000"/>
                <w:sz w:val="18"/>
                <w:szCs w:val="18"/>
              </w:rPr>
              <w:t>Patient Experience Survey</w:t>
            </w:r>
          </w:p>
        </w:tc>
        <w:tc>
          <w:tcPr>
            <w:tcW w:w="913" w:type="pct"/>
            <w:tcBorders>
              <w:top w:val="single" w:sz="4" w:space="0" w:color="auto"/>
              <w:left w:val="nil"/>
              <w:bottom w:val="single" w:sz="4" w:space="0" w:color="auto"/>
              <w:right w:val="single" w:sz="4" w:space="0" w:color="auto"/>
            </w:tcBorders>
            <w:shd w:val="clear" w:color="auto" w:fill="auto"/>
          </w:tcPr>
          <w:p w14:paraId="4AC3BA83"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Integration of Care</w:t>
            </w:r>
          </w:p>
        </w:tc>
        <w:tc>
          <w:tcPr>
            <w:tcW w:w="1556" w:type="pct"/>
            <w:tcBorders>
              <w:top w:val="single" w:sz="4" w:space="0" w:color="auto"/>
              <w:left w:val="nil"/>
              <w:bottom w:val="single" w:sz="4" w:space="0" w:color="auto"/>
              <w:right w:val="single" w:sz="4" w:space="0" w:color="auto"/>
            </w:tcBorders>
            <w:shd w:val="clear" w:color="auto" w:fill="auto"/>
          </w:tcPr>
          <w:p w14:paraId="51D702A3"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 xml:space="preserve">The percentage </w:t>
            </w:r>
            <w:r w:rsidRPr="00D073D7">
              <w:rPr>
                <w:rFonts w:ascii="Garamond" w:eastAsia="Times New Roman" w:hAnsi="Garamond" w:cs="Calibri"/>
                <w:sz w:val="18"/>
                <w:szCs w:val="18"/>
              </w:rPr>
              <w:t xml:space="preserve">of patients who responded to the CAHPS-PCMH survey who were </w:t>
            </w:r>
            <w:r w:rsidRPr="00D073D7">
              <w:rPr>
                <w:rFonts w:ascii="Garamond" w:hAnsi="Garamond"/>
                <w:color w:val="000000"/>
                <w:sz w:val="18"/>
                <w:szCs w:val="18"/>
              </w:rPr>
              <w:t>satisfied with how well doctors coordinate care.</w:t>
            </w:r>
          </w:p>
        </w:tc>
        <w:tc>
          <w:tcPr>
            <w:tcW w:w="714" w:type="pct"/>
            <w:tcBorders>
              <w:top w:val="single" w:sz="4" w:space="0" w:color="auto"/>
              <w:left w:val="nil"/>
              <w:bottom w:val="single" w:sz="4" w:space="0" w:color="auto"/>
              <w:right w:val="single" w:sz="4" w:space="0" w:color="auto"/>
            </w:tcBorders>
            <w:shd w:val="clear" w:color="auto" w:fill="auto"/>
          </w:tcPr>
          <w:p w14:paraId="408D1942"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000EBDFD"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509B518D"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12/31/2013</w:t>
            </w:r>
          </w:p>
        </w:tc>
      </w:tr>
      <w:tr w:rsidR="00D073D7" w:rsidRPr="00D073D7" w14:paraId="359C3670" w14:textId="77777777" w:rsidTr="0061712B">
        <w:trPr>
          <w:trHeight w:val="111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648E96F3" w14:textId="77777777" w:rsidR="00D073D7" w:rsidRPr="00D073D7" w:rsidRDefault="00D073D7" w:rsidP="00D073D7">
            <w:pPr>
              <w:rPr>
                <w:rFonts w:ascii="Garamond" w:hAnsi="Garamond"/>
                <w:sz w:val="18"/>
                <w:szCs w:val="18"/>
              </w:rPr>
            </w:pPr>
            <w:r w:rsidRPr="00D073D7">
              <w:rPr>
                <w:rFonts w:ascii="Garamond" w:hAnsi="Garamond"/>
                <w:color w:val="000000"/>
                <w:sz w:val="18"/>
                <w:szCs w:val="18"/>
              </w:rPr>
              <w:t>Patient Experience Survey</w:t>
            </w:r>
          </w:p>
        </w:tc>
        <w:tc>
          <w:tcPr>
            <w:tcW w:w="913" w:type="pct"/>
            <w:tcBorders>
              <w:top w:val="single" w:sz="4" w:space="0" w:color="auto"/>
              <w:left w:val="nil"/>
              <w:bottom w:val="single" w:sz="4" w:space="0" w:color="auto"/>
              <w:right w:val="single" w:sz="4" w:space="0" w:color="auto"/>
            </w:tcBorders>
            <w:shd w:val="clear" w:color="auto" w:fill="auto"/>
          </w:tcPr>
          <w:p w14:paraId="4D41CA35"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Communication</w:t>
            </w:r>
          </w:p>
        </w:tc>
        <w:tc>
          <w:tcPr>
            <w:tcW w:w="1556" w:type="pct"/>
            <w:tcBorders>
              <w:top w:val="single" w:sz="4" w:space="0" w:color="auto"/>
              <w:left w:val="nil"/>
              <w:bottom w:val="single" w:sz="4" w:space="0" w:color="auto"/>
              <w:right w:val="single" w:sz="4" w:space="0" w:color="auto"/>
            </w:tcBorders>
            <w:shd w:val="clear" w:color="auto" w:fill="auto"/>
          </w:tcPr>
          <w:p w14:paraId="6FF73C9A"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 xml:space="preserve">The percentage </w:t>
            </w:r>
            <w:r w:rsidRPr="00D073D7">
              <w:rPr>
                <w:rFonts w:ascii="Garamond" w:eastAsia="Times New Roman" w:hAnsi="Garamond" w:cs="Calibri"/>
                <w:sz w:val="18"/>
                <w:szCs w:val="18"/>
              </w:rPr>
              <w:t xml:space="preserve">of patients who responded to the CAHPS-PCMH survey who were </w:t>
            </w:r>
            <w:r w:rsidRPr="00D073D7">
              <w:rPr>
                <w:rFonts w:ascii="Garamond" w:hAnsi="Garamond"/>
                <w:color w:val="000000"/>
                <w:sz w:val="18"/>
                <w:szCs w:val="18"/>
              </w:rPr>
              <w:t>satisfied with how well doctors communicate with patients.</w:t>
            </w:r>
          </w:p>
        </w:tc>
        <w:tc>
          <w:tcPr>
            <w:tcW w:w="714" w:type="pct"/>
            <w:tcBorders>
              <w:top w:val="single" w:sz="4" w:space="0" w:color="auto"/>
              <w:left w:val="nil"/>
              <w:bottom w:val="single" w:sz="4" w:space="0" w:color="auto"/>
              <w:right w:val="single" w:sz="4" w:space="0" w:color="auto"/>
            </w:tcBorders>
            <w:shd w:val="clear" w:color="auto" w:fill="auto"/>
          </w:tcPr>
          <w:p w14:paraId="7ADCC89E"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03094C2A"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16BB96FD"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12/31/2013</w:t>
            </w:r>
          </w:p>
        </w:tc>
      </w:tr>
      <w:tr w:rsidR="00D073D7" w:rsidRPr="00D073D7" w14:paraId="59F5AC3A" w14:textId="77777777" w:rsidTr="0061712B">
        <w:trPr>
          <w:trHeight w:val="1061"/>
        </w:trPr>
        <w:tc>
          <w:tcPr>
            <w:tcW w:w="694" w:type="pct"/>
            <w:tcBorders>
              <w:top w:val="single" w:sz="4" w:space="0" w:color="auto"/>
              <w:left w:val="single" w:sz="4" w:space="0" w:color="auto"/>
              <w:bottom w:val="single" w:sz="4" w:space="0" w:color="auto"/>
              <w:right w:val="single" w:sz="4" w:space="0" w:color="auto"/>
            </w:tcBorders>
            <w:shd w:val="clear" w:color="auto" w:fill="auto"/>
          </w:tcPr>
          <w:p w14:paraId="44E13EF4" w14:textId="77777777" w:rsidR="00D073D7" w:rsidRPr="00D073D7" w:rsidRDefault="00D073D7" w:rsidP="00D073D7">
            <w:pPr>
              <w:rPr>
                <w:rFonts w:ascii="Garamond" w:hAnsi="Garamond"/>
                <w:sz w:val="18"/>
                <w:szCs w:val="18"/>
              </w:rPr>
            </w:pPr>
            <w:r w:rsidRPr="00D073D7">
              <w:rPr>
                <w:rFonts w:ascii="Garamond" w:hAnsi="Garamond"/>
                <w:color w:val="000000"/>
                <w:sz w:val="18"/>
                <w:szCs w:val="18"/>
              </w:rPr>
              <w:t>Patient Experience Survey</w:t>
            </w:r>
          </w:p>
        </w:tc>
        <w:tc>
          <w:tcPr>
            <w:tcW w:w="913" w:type="pct"/>
            <w:tcBorders>
              <w:top w:val="single" w:sz="4" w:space="0" w:color="auto"/>
              <w:left w:val="nil"/>
              <w:bottom w:val="single" w:sz="4" w:space="0" w:color="auto"/>
              <w:right w:val="single" w:sz="4" w:space="0" w:color="auto"/>
            </w:tcBorders>
            <w:shd w:val="clear" w:color="auto" w:fill="auto"/>
          </w:tcPr>
          <w:p w14:paraId="1038EF6F"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Knowledge of Patient</w:t>
            </w:r>
          </w:p>
        </w:tc>
        <w:tc>
          <w:tcPr>
            <w:tcW w:w="1556" w:type="pct"/>
            <w:tcBorders>
              <w:top w:val="single" w:sz="4" w:space="0" w:color="auto"/>
              <w:left w:val="nil"/>
              <w:bottom w:val="single" w:sz="4" w:space="0" w:color="auto"/>
              <w:right w:val="single" w:sz="4" w:space="0" w:color="auto"/>
            </w:tcBorders>
            <w:shd w:val="clear" w:color="auto" w:fill="auto"/>
          </w:tcPr>
          <w:p w14:paraId="7346322A"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 xml:space="preserve">The percentage </w:t>
            </w:r>
            <w:r w:rsidRPr="00D073D7">
              <w:rPr>
                <w:rFonts w:ascii="Garamond" w:eastAsia="Times New Roman" w:hAnsi="Garamond" w:cs="Calibri"/>
                <w:sz w:val="18"/>
                <w:szCs w:val="18"/>
              </w:rPr>
              <w:t xml:space="preserve">of patients who responded to the CAHPS-PCMH survey who were </w:t>
            </w:r>
            <w:r w:rsidRPr="00D073D7">
              <w:rPr>
                <w:rFonts w:ascii="Garamond" w:hAnsi="Garamond"/>
                <w:color w:val="000000"/>
                <w:sz w:val="18"/>
                <w:szCs w:val="18"/>
              </w:rPr>
              <w:t xml:space="preserve">satisfied with how well doctors </w:t>
            </w:r>
            <w:proofErr w:type="gramStart"/>
            <w:r w:rsidRPr="00D073D7">
              <w:rPr>
                <w:rFonts w:ascii="Garamond" w:hAnsi="Garamond"/>
                <w:color w:val="000000"/>
                <w:sz w:val="18"/>
                <w:szCs w:val="18"/>
              </w:rPr>
              <w:t>know</w:t>
            </w:r>
            <w:proofErr w:type="gramEnd"/>
            <w:r w:rsidRPr="00D073D7">
              <w:rPr>
                <w:rFonts w:ascii="Garamond" w:hAnsi="Garamond"/>
                <w:color w:val="000000"/>
                <w:sz w:val="18"/>
                <w:szCs w:val="18"/>
              </w:rPr>
              <w:t xml:space="preserve"> their patients.</w:t>
            </w:r>
          </w:p>
        </w:tc>
        <w:tc>
          <w:tcPr>
            <w:tcW w:w="714" w:type="pct"/>
            <w:tcBorders>
              <w:top w:val="single" w:sz="4" w:space="0" w:color="auto"/>
              <w:left w:val="nil"/>
              <w:bottom w:val="single" w:sz="4" w:space="0" w:color="auto"/>
              <w:right w:val="single" w:sz="4" w:space="0" w:color="auto"/>
            </w:tcBorders>
            <w:shd w:val="clear" w:color="auto" w:fill="auto"/>
          </w:tcPr>
          <w:p w14:paraId="66FF61FA"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6E5EA33C"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3FA938D2"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12/31/2013</w:t>
            </w:r>
          </w:p>
        </w:tc>
      </w:tr>
      <w:tr w:rsidR="00D073D7" w:rsidRPr="00D073D7" w14:paraId="19CE3B0A" w14:textId="77777777" w:rsidTr="0061712B">
        <w:trPr>
          <w:trHeight w:val="129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40DD020A" w14:textId="77777777" w:rsidR="00D073D7" w:rsidRPr="00D073D7" w:rsidRDefault="00D073D7" w:rsidP="00D073D7">
            <w:pPr>
              <w:rPr>
                <w:rFonts w:ascii="Garamond" w:hAnsi="Garamond"/>
                <w:sz w:val="18"/>
                <w:szCs w:val="18"/>
              </w:rPr>
            </w:pPr>
            <w:r w:rsidRPr="00D073D7">
              <w:rPr>
                <w:rFonts w:ascii="Garamond" w:hAnsi="Garamond"/>
                <w:color w:val="000000"/>
                <w:sz w:val="18"/>
                <w:szCs w:val="18"/>
              </w:rPr>
              <w:t>Patient Experience Survey</w:t>
            </w:r>
          </w:p>
        </w:tc>
        <w:tc>
          <w:tcPr>
            <w:tcW w:w="913" w:type="pct"/>
            <w:tcBorders>
              <w:top w:val="single" w:sz="4" w:space="0" w:color="auto"/>
              <w:left w:val="nil"/>
              <w:bottom w:val="single" w:sz="4" w:space="0" w:color="auto"/>
              <w:right w:val="single" w:sz="4" w:space="0" w:color="auto"/>
            </w:tcBorders>
            <w:shd w:val="clear" w:color="auto" w:fill="auto"/>
          </w:tcPr>
          <w:p w14:paraId="79A412B8"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Willingness to Recommend</w:t>
            </w:r>
          </w:p>
        </w:tc>
        <w:tc>
          <w:tcPr>
            <w:tcW w:w="1556" w:type="pct"/>
            <w:tcBorders>
              <w:top w:val="single" w:sz="4" w:space="0" w:color="auto"/>
              <w:left w:val="nil"/>
              <w:bottom w:val="single" w:sz="4" w:space="0" w:color="auto"/>
              <w:right w:val="single" w:sz="4" w:space="0" w:color="auto"/>
            </w:tcBorders>
            <w:shd w:val="clear" w:color="auto" w:fill="auto"/>
          </w:tcPr>
          <w:p w14:paraId="266F1BED"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 xml:space="preserve">Percent of patients who responded to the CAHPS-PCMH survey and reported YES, they would definitely recommend </w:t>
            </w:r>
            <w:r w:rsidRPr="00D073D7">
              <w:rPr>
                <w:rFonts w:ascii="Garamond" w:hAnsi="Garamond"/>
                <w:color w:val="000000"/>
                <w:sz w:val="18"/>
                <w:szCs w:val="18"/>
              </w:rPr>
              <w:t>their doctor to family and friends.</w:t>
            </w:r>
          </w:p>
        </w:tc>
        <w:tc>
          <w:tcPr>
            <w:tcW w:w="714" w:type="pct"/>
            <w:tcBorders>
              <w:top w:val="single" w:sz="4" w:space="0" w:color="auto"/>
              <w:left w:val="nil"/>
              <w:bottom w:val="single" w:sz="4" w:space="0" w:color="auto"/>
              <w:right w:val="single" w:sz="4" w:space="0" w:color="auto"/>
            </w:tcBorders>
            <w:shd w:val="clear" w:color="auto" w:fill="auto"/>
          </w:tcPr>
          <w:p w14:paraId="0F8F08F9" w14:textId="77777777" w:rsidR="00D073D7" w:rsidRPr="00D073D7" w:rsidRDefault="00D073D7" w:rsidP="00D073D7">
            <w:pPr>
              <w:rPr>
                <w:rFonts w:ascii="Garamond" w:hAnsi="Garamond"/>
                <w:color w:val="000000"/>
                <w:sz w:val="18"/>
                <w:szCs w:val="18"/>
              </w:rPr>
            </w:pPr>
            <w:r w:rsidRPr="00D073D7">
              <w:rPr>
                <w:rFonts w:ascii="Garamond" w:eastAsia="Times New Roman" w:hAnsi="Garamond" w:cs="Calibri"/>
                <w:sz w:val="18"/>
                <w:szCs w:val="18"/>
              </w:rPr>
              <w:t>AHRQ; 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7D5802EF"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347579CB" w14:textId="77777777" w:rsidR="00D073D7" w:rsidRPr="00D073D7" w:rsidRDefault="00D073D7" w:rsidP="00D073D7">
            <w:pPr>
              <w:rPr>
                <w:rFonts w:ascii="Garamond" w:hAnsi="Garamond"/>
                <w:color w:val="000000"/>
                <w:sz w:val="18"/>
                <w:szCs w:val="18"/>
              </w:rPr>
            </w:pPr>
            <w:r w:rsidRPr="00D073D7">
              <w:rPr>
                <w:rFonts w:ascii="Garamond" w:hAnsi="Garamond"/>
                <w:color w:val="000000"/>
                <w:sz w:val="18"/>
                <w:szCs w:val="18"/>
              </w:rPr>
              <w:t>12/31/2013</w:t>
            </w:r>
          </w:p>
        </w:tc>
      </w:tr>
    </w:tbl>
    <w:p w14:paraId="17BB9D64" w14:textId="77777777" w:rsidR="00D073D7" w:rsidRPr="00D073D7" w:rsidRDefault="00D073D7" w:rsidP="00D073D7">
      <w:pPr>
        <w:jc w:val="both"/>
        <w:rPr>
          <w:rFonts w:ascii="Garamond" w:hAnsi="Garamond"/>
          <w:b/>
        </w:rPr>
      </w:pPr>
      <w:r w:rsidRPr="00D073D7">
        <w:rPr>
          <w:rFonts w:ascii="Garamond" w:hAnsi="Garamond"/>
          <w:b/>
        </w:rPr>
        <w:tab/>
      </w:r>
    </w:p>
    <w:p w14:paraId="1391C5FF" w14:textId="77777777" w:rsidR="00D073D7" w:rsidRPr="00D073D7" w:rsidRDefault="00D073D7" w:rsidP="00D073D7">
      <w:pPr>
        <w:jc w:val="both"/>
        <w:rPr>
          <w:rFonts w:ascii="Garamond" w:hAnsi="Garamond"/>
        </w:rPr>
      </w:pPr>
      <w:r w:rsidRPr="00D073D7">
        <w:rPr>
          <w:rFonts w:ascii="Garamond" w:hAnsi="Garamond"/>
          <w:b/>
        </w:rPr>
        <w:t xml:space="preserve">CHIA Data Source: </w:t>
      </w:r>
      <w:r w:rsidRPr="00D073D7">
        <w:rPr>
          <w:rFonts w:ascii="Garamond" w:hAnsi="Garamond"/>
        </w:rPr>
        <w:t xml:space="preserve">Massachusetts Health Quality Partners (MHQP), 2013 Patient Experience Survey </w:t>
      </w:r>
    </w:p>
    <w:p w14:paraId="5A6571BF" w14:textId="77777777" w:rsidR="00D073D7" w:rsidRPr="00D073D7" w:rsidRDefault="00D073D7" w:rsidP="00D073D7">
      <w:pPr>
        <w:jc w:val="both"/>
        <w:rPr>
          <w:rFonts w:ascii="Garamond" w:hAnsi="Garamond"/>
        </w:rPr>
      </w:pPr>
      <w:r w:rsidRPr="00D073D7">
        <w:rPr>
          <w:rFonts w:ascii="Garamond" w:hAnsi="Garamond"/>
        </w:rPr>
        <w:t xml:space="preserve">All performance results in the Annual Report were received from MHQP as pre-calculated scores ranging from 0 to 100. </w:t>
      </w:r>
    </w:p>
    <w:p w14:paraId="00C98960" w14:textId="77777777" w:rsidR="00D073D7" w:rsidRPr="00D073D7" w:rsidRDefault="00D073D7" w:rsidP="0086184B">
      <w:pPr>
        <w:jc w:val="both"/>
        <w:rPr>
          <w:rFonts w:ascii="Garamond" w:hAnsi="Garamond"/>
        </w:rPr>
      </w:pPr>
      <w:r w:rsidRPr="00D073D7">
        <w:rPr>
          <w:rFonts w:ascii="Garamond" w:hAnsi="Garamond"/>
        </w:rPr>
        <w:t>These measures reflect the experience of adult, commercially insured members from the five largest commercial carriers:  BCBS, Fallon, H</w:t>
      </w:r>
      <w:r w:rsidR="00D0020C">
        <w:rPr>
          <w:rFonts w:ascii="Garamond" w:hAnsi="Garamond"/>
        </w:rPr>
        <w:t>PHC</w:t>
      </w:r>
      <w:r w:rsidRPr="00D073D7">
        <w:rPr>
          <w:rFonts w:ascii="Garamond" w:hAnsi="Garamond"/>
        </w:rPr>
        <w:t xml:space="preserve">, </w:t>
      </w:r>
      <w:r w:rsidR="00D0020C">
        <w:rPr>
          <w:rFonts w:ascii="Garamond" w:hAnsi="Garamond"/>
        </w:rPr>
        <w:t>HNE</w:t>
      </w:r>
      <w:r w:rsidRPr="00D073D7">
        <w:rPr>
          <w:rFonts w:ascii="Garamond" w:hAnsi="Garamond"/>
        </w:rPr>
        <w:t xml:space="preserve"> and Tufts.  This sample represents approximately 80% of the commercial population.  Pediatric patient experiences were excluded.</w:t>
      </w:r>
    </w:p>
    <w:p w14:paraId="4EA7EB4F" w14:textId="77777777" w:rsidR="00D073D7" w:rsidRPr="00D073D7" w:rsidRDefault="00D073D7" w:rsidP="0086184B">
      <w:pPr>
        <w:jc w:val="both"/>
        <w:rPr>
          <w:rFonts w:ascii="Garamond" w:hAnsi="Garamond"/>
        </w:rPr>
      </w:pPr>
      <w:r w:rsidRPr="00D073D7">
        <w:rPr>
          <w:rFonts w:ascii="Garamond" w:hAnsi="Garamond"/>
        </w:rPr>
        <w:t xml:space="preserve">Managing Provider Groups measured are those serving the five carriers’ commercial members.  These groups are:  </w:t>
      </w:r>
      <w:proofErr w:type="spellStart"/>
      <w:r w:rsidRPr="00D073D7">
        <w:rPr>
          <w:rFonts w:ascii="Garamond" w:hAnsi="Garamond"/>
        </w:rPr>
        <w:t>Atrius</w:t>
      </w:r>
      <w:proofErr w:type="spellEnd"/>
      <w:r w:rsidRPr="00D073D7">
        <w:rPr>
          <w:rFonts w:ascii="Garamond" w:hAnsi="Garamond"/>
        </w:rPr>
        <w:t xml:space="preserve"> Health, Inc., </w:t>
      </w:r>
      <w:proofErr w:type="spellStart"/>
      <w:r w:rsidRPr="00D073D7">
        <w:rPr>
          <w:rFonts w:ascii="Garamond" w:hAnsi="Garamond"/>
        </w:rPr>
        <w:t>Baycare</w:t>
      </w:r>
      <w:proofErr w:type="spellEnd"/>
      <w:r w:rsidRPr="00D073D7">
        <w:rPr>
          <w:rFonts w:ascii="Garamond" w:hAnsi="Garamond"/>
        </w:rPr>
        <w:t xml:space="preserve"> Health Partners, Beth Israel Deaconess Care Organization LLC, </w:t>
      </w:r>
      <w:proofErr w:type="spellStart"/>
      <w:r w:rsidRPr="00D073D7">
        <w:rPr>
          <w:rFonts w:ascii="Garamond" w:hAnsi="Garamond"/>
        </w:rPr>
        <w:t>Lahey</w:t>
      </w:r>
      <w:proofErr w:type="spellEnd"/>
      <w:r w:rsidRPr="00D073D7">
        <w:rPr>
          <w:rFonts w:ascii="Garamond" w:hAnsi="Garamond"/>
        </w:rPr>
        <w:t xml:space="preserve"> Hospital and Medical Center, New England Quality Care Alliance, Partners Community Health Care, Steward Health Care Network, and UMass Memorial Health Care, Inc.</w:t>
      </w:r>
    </w:p>
    <w:p w14:paraId="1AFB21D3" w14:textId="77777777" w:rsidR="00D73639" w:rsidRPr="00D073D7" w:rsidRDefault="00D73639" w:rsidP="00D73639">
      <w:pPr>
        <w:spacing w:after="0"/>
        <w:rPr>
          <w:rFonts w:ascii="Garamond" w:hAnsi="Garamond"/>
          <w:b/>
          <w:color w:val="4F81BD" w:themeColor="accent1"/>
          <w:sz w:val="28"/>
          <w:u w:val="single"/>
        </w:rPr>
      </w:pPr>
      <w:r w:rsidRPr="00D073D7">
        <w:rPr>
          <w:rFonts w:ascii="Garamond" w:hAnsi="Garamond"/>
          <w:b/>
          <w:color w:val="4F81BD" w:themeColor="accent1"/>
          <w:sz w:val="28"/>
          <w:u w:val="single"/>
        </w:rPr>
        <w:lastRenderedPageBreak/>
        <w:t>Payer Retention, Retention Decompositions, Medical Loss Ratios, and Rebates</w:t>
      </w:r>
    </w:p>
    <w:p w14:paraId="2F4D5EB7" w14:textId="77777777" w:rsidR="00D73639" w:rsidRPr="00D73639" w:rsidRDefault="00D73639" w:rsidP="00D73639">
      <w:pPr>
        <w:spacing w:after="0"/>
        <w:rPr>
          <w:rFonts w:ascii="Garamond" w:hAnsi="Garamond"/>
        </w:rPr>
      </w:pPr>
      <w:r w:rsidRPr="00D73639">
        <w:rPr>
          <w:rFonts w:ascii="Garamond" w:hAnsi="Garamond"/>
        </w:rPr>
        <w:t xml:space="preserve">[Metric related to </w:t>
      </w:r>
      <w:r w:rsidR="007A6EB3">
        <w:rPr>
          <w:rFonts w:ascii="Garamond" w:hAnsi="Garamond"/>
        </w:rPr>
        <w:t>S</w:t>
      </w:r>
      <w:r w:rsidRPr="00D73639">
        <w:rPr>
          <w:rFonts w:ascii="Garamond" w:hAnsi="Garamond"/>
        </w:rPr>
        <w:t>upplement 6]</w:t>
      </w:r>
    </w:p>
    <w:p w14:paraId="46375BC3" w14:textId="77777777" w:rsidR="00D73639" w:rsidRPr="00D73639" w:rsidRDefault="00D73639" w:rsidP="00D73639">
      <w:pPr>
        <w:spacing w:after="0"/>
        <w:rPr>
          <w:rFonts w:ascii="Garamond" w:hAnsi="Garamond"/>
          <w:b/>
          <w:color w:val="4F81BD" w:themeColor="accent1"/>
          <w:u w:val="single"/>
        </w:rPr>
      </w:pPr>
    </w:p>
    <w:p w14:paraId="54C8140A" w14:textId="77777777" w:rsidR="00D73639" w:rsidRPr="00D73639" w:rsidRDefault="00D73639" w:rsidP="00D73639">
      <w:pPr>
        <w:spacing w:after="0"/>
        <w:rPr>
          <w:rFonts w:ascii="Garamond" w:hAnsi="Garamond"/>
        </w:rPr>
      </w:pPr>
      <w:r w:rsidRPr="00D73639">
        <w:rPr>
          <w:rFonts w:ascii="Garamond" w:hAnsi="Garamond"/>
        </w:rPr>
        <w:t>Payer retention is the difference between the total premiums collected by payers and the total spent on incurred medical claims. Total retention amounts were based on premium and claim</w:t>
      </w:r>
      <w:r w:rsidR="007A6EB3">
        <w:rPr>
          <w:rFonts w:ascii="Garamond" w:hAnsi="Garamond"/>
        </w:rPr>
        <w:t>s</w:t>
      </w:r>
      <w:r w:rsidRPr="00D73639">
        <w:rPr>
          <w:rFonts w:ascii="Garamond" w:hAnsi="Garamond"/>
        </w:rPr>
        <w:t xml:space="preserve"> data reported by payers in the “2014 Annual Premiums Data Request”.</w:t>
      </w:r>
    </w:p>
    <w:p w14:paraId="1AB5B96C" w14:textId="77777777" w:rsidR="00D73639" w:rsidRPr="00D73639" w:rsidRDefault="00D73639" w:rsidP="00D73639">
      <w:pPr>
        <w:spacing w:after="0"/>
        <w:rPr>
          <w:rFonts w:ascii="Garamond" w:hAnsi="Garamond"/>
        </w:rPr>
      </w:pPr>
    </w:p>
    <w:p w14:paraId="48972C64" w14:textId="77777777" w:rsidR="00D73639" w:rsidRPr="00D73639" w:rsidRDefault="00D73639" w:rsidP="00D73639">
      <w:pPr>
        <w:spacing w:after="0"/>
        <w:rPr>
          <w:rFonts w:ascii="Garamond" w:hAnsi="Garamond"/>
        </w:rPr>
      </w:pPr>
      <w:r w:rsidRPr="00D73639">
        <w:rPr>
          <w:rFonts w:ascii="Garamond" w:hAnsi="Garamond"/>
        </w:rPr>
        <w:t xml:space="preserve">Findings related to retention breakdown into its components (retention decomposition) are based on CCIIO MLR Reporting Data from 2011, 2012, and 2013.   </w:t>
      </w:r>
    </w:p>
    <w:p w14:paraId="6A8ECF18" w14:textId="77777777" w:rsidR="00D73639" w:rsidRPr="00D73639" w:rsidRDefault="00D73639" w:rsidP="00D73639">
      <w:pPr>
        <w:spacing w:after="0"/>
        <w:rPr>
          <w:rFonts w:ascii="Garamond" w:hAnsi="Garamond"/>
        </w:rPr>
      </w:pPr>
    </w:p>
    <w:p w14:paraId="03ABB299" w14:textId="77777777" w:rsidR="00D73639" w:rsidRPr="00D73639" w:rsidRDefault="00D73639" w:rsidP="00D73639">
      <w:pPr>
        <w:spacing w:after="0"/>
        <w:rPr>
          <w:rFonts w:ascii="Garamond" w:hAnsi="Garamond"/>
        </w:rPr>
      </w:pPr>
      <w:r w:rsidRPr="00D73639">
        <w:rPr>
          <w:rFonts w:ascii="Garamond" w:hAnsi="Garamond"/>
        </w:rPr>
        <w:t xml:space="preserve">Paid rebate information was based on premium data provided by the payers.  The payer-reported rebates were compared to Massachusetts </w:t>
      </w:r>
      <w:r w:rsidR="007A6EB3">
        <w:rPr>
          <w:rFonts w:ascii="Garamond" w:hAnsi="Garamond"/>
        </w:rPr>
        <w:t>MLR</w:t>
      </w:r>
      <w:r w:rsidRPr="00D73639">
        <w:rPr>
          <w:rFonts w:ascii="Garamond" w:hAnsi="Garamond"/>
        </w:rPr>
        <w:t xml:space="preserve"> Reports filed with the Division of Insurance and were found to be consistent with the approved amounts. Where payer reported rebate information differed from the amounts reported to CCIIO, the profit as reported to CCIIO was adjusted such that the total retention was unchanged.  Retention findings are for the </w:t>
      </w:r>
      <w:proofErr w:type="gramStart"/>
      <w:r w:rsidRPr="00D73639">
        <w:rPr>
          <w:rFonts w:ascii="Garamond" w:hAnsi="Garamond"/>
        </w:rPr>
        <w:t>fully-insured</w:t>
      </w:r>
      <w:proofErr w:type="gramEnd"/>
      <w:r w:rsidRPr="00D73639">
        <w:rPr>
          <w:rFonts w:ascii="Garamond" w:hAnsi="Garamond"/>
        </w:rPr>
        <w:t xml:space="preserve"> market and are based on Massachusetts residents and out-of-state residents that are covered under Massachusetts contracts. </w:t>
      </w:r>
    </w:p>
    <w:p w14:paraId="6CEF5A1E" w14:textId="77777777" w:rsidR="00D73639" w:rsidRPr="00D73639" w:rsidRDefault="00D73639" w:rsidP="00D73639">
      <w:pPr>
        <w:spacing w:after="0"/>
        <w:rPr>
          <w:rFonts w:ascii="Garamond" w:hAnsi="Garamond"/>
        </w:rPr>
      </w:pPr>
    </w:p>
    <w:p w14:paraId="35611621" w14:textId="77777777" w:rsidR="00D73639" w:rsidRPr="00D73639" w:rsidRDefault="00D73639" w:rsidP="00D73639">
      <w:pPr>
        <w:spacing w:after="0"/>
        <w:rPr>
          <w:rFonts w:ascii="Garamond" w:hAnsi="Garamond"/>
        </w:rPr>
      </w:pPr>
      <w:r w:rsidRPr="00D73639">
        <w:rPr>
          <w:rFonts w:ascii="Garamond" w:hAnsi="Garamond"/>
        </w:rPr>
        <w:t>While actuarial values (AV) estimate how much an average member can expect a plan to cover of his/her covered medical expenses, Medical Loss Ratios (MLR) represent the proportion of a plan’s total collected premium spent by that plan on covering member medical claims.</w:t>
      </w:r>
      <w:r w:rsidRPr="00D73639">
        <w:rPr>
          <w:rStyle w:val="FootnoteReference"/>
          <w:rFonts w:ascii="Garamond" w:hAnsi="Garamond"/>
        </w:rPr>
        <w:footnoteReference w:id="10"/>
      </w:r>
      <w:r w:rsidRPr="00D73639">
        <w:rPr>
          <w:rFonts w:ascii="Garamond" w:hAnsi="Garamond"/>
        </w:rPr>
        <w:t xml:space="preserve">  A plan may have a high MLR but a low AV if its administrative costs for a plan are particularly low, and the plan only covers a minimal amount of the member’s expected medical expenses. </w:t>
      </w:r>
    </w:p>
    <w:p w14:paraId="689AB2BF" w14:textId="77777777" w:rsidR="003058EA" w:rsidRPr="00D73639" w:rsidRDefault="003058EA" w:rsidP="004D5235">
      <w:pPr>
        <w:rPr>
          <w:rFonts w:ascii="Garamond" w:hAnsi="Garamond"/>
        </w:rPr>
      </w:pPr>
    </w:p>
    <w:bookmarkEnd w:id="2"/>
    <w:bookmarkEnd w:id="3"/>
    <w:p w14:paraId="11C84386" w14:textId="77777777" w:rsidR="00D073D7" w:rsidRPr="00D073D7" w:rsidRDefault="00F07FE1" w:rsidP="00F07FE1">
      <w:pPr>
        <w:spacing w:after="0"/>
        <w:rPr>
          <w:rFonts w:ascii="Garamond" w:hAnsi="Garamond"/>
          <w:b/>
          <w:color w:val="4F81BD" w:themeColor="accent1"/>
          <w:sz w:val="28"/>
          <w:u w:val="single"/>
        </w:rPr>
      </w:pPr>
      <w:r w:rsidRPr="00D073D7">
        <w:rPr>
          <w:rFonts w:ascii="Garamond" w:hAnsi="Garamond"/>
          <w:b/>
          <w:color w:val="4F81BD" w:themeColor="accent1"/>
          <w:sz w:val="28"/>
          <w:u w:val="single"/>
        </w:rPr>
        <w:t>Market Concentration/ Enrollment Trends Methodology</w:t>
      </w:r>
    </w:p>
    <w:p w14:paraId="4AD32201" w14:textId="77777777" w:rsidR="00F07FE1" w:rsidRPr="00D73639" w:rsidRDefault="00F07FE1" w:rsidP="00F07FE1">
      <w:pPr>
        <w:spacing w:after="0"/>
        <w:rPr>
          <w:rFonts w:ascii="Garamond" w:hAnsi="Garamond"/>
        </w:rPr>
      </w:pPr>
      <w:r w:rsidRPr="00D73639">
        <w:rPr>
          <w:rFonts w:ascii="Garamond" w:hAnsi="Garamond"/>
        </w:rPr>
        <w:t>[</w:t>
      </w:r>
      <w:r w:rsidR="00D073D7">
        <w:rPr>
          <w:rFonts w:ascii="Garamond" w:hAnsi="Garamond"/>
        </w:rPr>
        <w:t>M</w:t>
      </w:r>
      <w:r w:rsidRPr="00D73639">
        <w:rPr>
          <w:rFonts w:ascii="Garamond" w:hAnsi="Garamond"/>
        </w:rPr>
        <w:t xml:space="preserve">etric related to </w:t>
      </w:r>
      <w:r w:rsidR="006F46D3">
        <w:rPr>
          <w:rFonts w:ascii="Garamond" w:hAnsi="Garamond"/>
        </w:rPr>
        <w:t>S</w:t>
      </w:r>
      <w:r w:rsidRPr="00D73639">
        <w:rPr>
          <w:rFonts w:ascii="Garamond" w:hAnsi="Garamond"/>
        </w:rPr>
        <w:t>upplement 10]</w:t>
      </w:r>
    </w:p>
    <w:p w14:paraId="20CC4E4A" w14:textId="77777777" w:rsidR="00D73639" w:rsidRPr="00D73639" w:rsidRDefault="00D73639" w:rsidP="00F07FE1">
      <w:pPr>
        <w:spacing w:after="0"/>
        <w:rPr>
          <w:rFonts w:ascii="Garamond" w:hAnsi="Garamond"/>
          <w:b/>
          <w:color w:val="4F81BD" w:themeColor="accent1"/>
          <w:u w:val="single"/>
        </w:rPr>
      </w:pPr>
    </w:p>
    <w:p w14:paraId="58E44320" w14:textId="77777777" w:rsidR="00D73639" w:rsidRPr="00D73639" w:rsidRDefault="00D73639" w:rsidP="00D73639">
      <w:pPr>
        <w:spacing w:after="0"/>
        <w:rPr>
          <w:rFonts w:ascii="Garamond" w:hAnsi="Garamond"/>
        </w:rPr>
      </w:pPr>
      <w:r w:rsidRPr="00D73639">
        <w:rPr>
          <w:rFonts w:ascii="Garamond" w:hAnsi="Garamond"/>
          <w:b/>
        </w:rPr>
        <w:t>Payer Membership Concentration</w:t>
      </w:r>
    </w:p>
    <w:p w14:paraId="47EFFF16" w14:textId="77777777" w:rsidR="00D73639" w:rsidRPr="00D73639" w:rsidRDefault="00D73639" w:rsidP="00D73639">
      <w:pPr>
        <w:spacing w:after="0"/>
        <w:rPr>
          <w:rFonts w:ascii="Garamond" w:hAnsi="Garamond"/>
        </w:rPr>
      </w:pPr>
      <w:r w:rsidRPr="00D73639">
        <w:rPr>
          <w:rFonts w:ascii="Garamond" w:hAnsi="Garamond"/>
        </w:rPr>
        <w:t>CHIA received September 2013 commercial enrollment data from fifteen (15) Massachusetts payers:</w:t>
      </w:r>
    </w:p>
    <w:p w14:paraId="5D19CE60" w14:textId="77777777" w:rsidR="00D73639" w:rsidRPr="00D73639" w:rsidRDefault="00D73639" w:rsidP="00D73639">
      <w:pPr>
        <w:spacing w:after="0"/>
        <w:rPr>
          <w:rFonts w:ascii="Garamond" w:hAnsi="Garamond"/>
        </w:rPr>
      </w:pPr>
    </w:p>
    <w:p w14:paraId="420F1B7B" w14:textId="77777777" w:rsidR="00D73639" w:rsidRPr="00D73639" w:rsidRDefault="00D73639" w:rsidP="00D73639">
      <w:pPr>
        <w:pStyle w:val="ListParagraph"/>
        <w:numPr>
          <w:ilvl w:val="0"/>
          <w:numId w:val="11"/>
        </w:numPr>
        <w:spacing w:after="0"/>
        <w:rPr>
          <w:rFonts w:ascii="Garamond" w:hAnsi="Garamond"/>
        </w:rPr>
      </w:pPr>
      <w:r w:rsidRPr="00D73639">
        <w:rPr>
          <w:rFonts w:ascii="Garamond" w:hAnsi="Garamond"/>
        </w:rPr>
        <w:t>Aetna</w:t>
      </w:r>
    </w:p>
    <w:p w14:paraId="589E1905" w14:textId="77777777" w:rsidR="00D73639" w:rsidRPr="00D73639" w:rsidRDefault="00D73639" w:rsidP="00D73639">
      <w:pPr>
        <w:pStyle w:val="ListParagraph"/>
        <w:numPr>
          <w:ilvl w:val="0"/>
          <w:numId w:val="11"/>
        </w:numPr>
        <w:spacing w:after="0"/>
        <w:rPr>
          <w:rFonts w:ascii="Garamond" w:hAnsi="Garamond"/>
        </w:rPr>
      </w:pPr>
      <w:r w:rsidRPr="00D73639">
        <w:rPr>
          <w:rFonts w:ascii="Garamond" w:hAnsi="Garamond"/>
        </w:rPr>
        <w:t>Blue Cross Blue Shield of MA</w:t>
      </w:r>
    </w:p>
    <w:p w14:paraId="4432BEC4" w14:textId="77777777" w:rsidR="00D73639" w:rsidRPr="00D73639" w:rsidRDefault="00D73639" w:rsidP="00D73639">
      <w:pPr>
        <w:pStyle w:val="ListParagraph"/>
        <w:numPr>
          <w:ilvl w:val="0"/>
          <w:numId w:val="11"/>
        </w:numPr>
        <w:spacing w:after="0"/>
        <w:rPr>
          <w:rFonts w:ascii="Garamond" w:hAnsi="Garamond"/>
        </w:rPr>
      </w:pPr>
      <w:r w:rsidRPr="00D73639">
        <w:rPr>
          <w:rFonts w:ascii="Garamond" w:hAnsi="Garamond"/>
        </w:rPr>
        <w:t xml:space="preserve">Boston Medical Center </w:t>
      </w:r>
      <w:proofErr w:type="spellStart"/>
      <w:r w:rsidRPr="00D73639">
        <w:rPr>
          <w:rFonts w:ascii="Garamond" w:hAnsi="Garamond"/>
        </w:rPr>
        <w:t>HealthNet</w:t>
      </w:r>
      <w:proofErr w:type="spellEnd"/>
    </w:p>
    <w:p w14:paraId="69CD38E5" w14:textId="77777777" w:rsidR="00D73639" w:rsidRPr="00D73639" w:rsidRDefault="00D73639" w:rsidP="00D73639">
      <w:pPr>
        <w:pStyle w:val="ListParagraph"/>
        <w:numPr>
          <w:ilvl w:val="0"/>
          <w:numId w:val="11"/>
        </w:numPr>
        <w:spacing w:after="0"/>
        <w:rPr>
          <w:rFonts w:ascii="Garamond" w:hAnsi="Garamond"/>
        </w:rPr>
      </w:pPr>
      <w:proofErr w:type="spellStart"/>
      <w:r w:rsidRPr="00D73639">
        <w:rPr>
          <w:rFonts w:ascii="Garamond" w:hAnsi="Garamond"/>
        </w:rPr>
        <w:t>CeltiCare</w:t>
      </w:r>
      <w:proofErr w:type="spellEnd"/>
      <w:r w:rsidRPr="00D73639">
        <w:rPr>
          <w:rFonts w:ascii="Garamond" w:hAnsi="Garamond"/>
        </w:rPr>
        <w:t xml:space="preserve"> Health Plan of Massachusetts</w:t>
      </w:r>
    </w:p>
    <w:p w14:paraId="010CA547" w14:textId="77777777" w:rsidR="00D73639" w:rsidRPr="00D73639" w:rsidRDefault="00D73639" w:rsidP="00D73639">
      <w:pPr>
        <w:pStyle w:val="ListParagraph"/>
        <w:numPr>
          <w:ilvl w:val="0"/>
          <w:numId w:val="11"/>
        </w:numPr>
        <w:spacing w:after="0"/>
        <w:rPr>
          <w:rFonts w:ascii="Garamond" w:hAnsi="Garamond"/>
        </w:rPr>
      </w:pPr>
      <w:r w:rsidRPr="00D73639">
        <w:rPr>
          <w:rFonts w:ascii="Garamond" w:hAnsi="Garamond"/>
        </w:rPr>
        <w:t>CIGNA</w:t>
      </w:r>
    </w:p>
    <w:p w14:paraId="5D2D407A" w14:textId="77777777" w:rsidR="00D73639" w:rsidRPr="00D73639" w:rsidRDefault="00D73639" w:rsidP="00D73639">
      <w:pPr>
        <w:pStyle w:val="ListParagraph"/>
        <w:numPr>
          <w:ilvl w:val="0"/>
          <w:numId w:val="11"/>
        </w:numPr>
        <w:spacing w:after="0"/>
        <w:rPr>
          <w:rFonts w:ascii="Garamond" w:hAnsi="Garamond"/>
        </w:rPr>
      </w:pPr>
      <w:proofErr w:type="spellStart"/>
      <w:r w:rsidRPr="00D73639">
        <w:rPr>
          <w:rFonts w:ascii="Garamond" w:hAnsi="Garamond"/>
        </w:rPr>
        <w:t>ConnectiCare</w:t>
      </w:r>
      <w:proofErr w:type="spellEnd"/>
    </w:p>
    <w:p w14:paraId="2C0F5E31" w14:textId="77777777" w:rsidR="00D73639" w:rsidRPr="00D73639" w:rsidRDefault="00D73639" w:rsidP="00D73639">
      <w:pPr>
        <w:pStyle w:val="ListParagraph"/>
        <w:numPr>
          <w:ilvl w:val="0"/>
          <w:numId w:val="11"/>
        </w:numPr>
        <w:spacing w:after="0"/>
        <w:rPr>
          <w:rFonts w:ascii="Garamond" w:hAnsi="Garamond"/>
        </w:rPr>
      </w:pPr>
      <w:r w:rsidRPr="00D73639">
        <w:rPr>
          <w:rFonts w:ascii="Garamond" w:hAnsi="Garamond"/>
        </w:rPr>
        <w:t>Fallon Health</w:t>
      </w:r>
    </w:p>
    <w:p w14:paraId="649D42E2" w14:textId="77777777" w:rsidR="00D73639" w:rsidRPr="00D73639" w:rsidRDefault="00D73639" w:rsidP="00D73639">
      <w:pPr>
        <w:pStyle w:val="ListParagraph"/>
        <w:numPr>
          <w:ilvl w:val="0"/>
          <w:numId w:val="11"/>
        </w:numPr>
        <w:spacing w:after="0"/>
        <w:rPr>
          <w:rFonts w:ascii="Garamond" w:hAnsi="Garamond"/>
        </w:rPr>
      </w:pPr>
      <w:r w:rsidRPr="00D73639">
        <w:rPr>
          <w:rFonts w:ascii="Garamond" w:hAnsi="Garamond"/>
        </w:rPr>
        <w:t>Harvard Pilgrim Health Care (including Health Plans, Inc.)</w:t>
      </w:r>
    </w:p>
    <w:p w14:paraId="001BC414" w14:textId="77777777" w:rsidR="00D73639" w:rsidRPr="00D73639" w:rsidRDefault="00D73639" w:rsidP="00D73639">
      <w:pPr>
        <w:pStyle w:val="ListParagraph"/>
        <w:numPr>
          <w:ilvl w:val="0"/>
          <w:numId w:val="11"/>
        </w:numPr>
        <w:spacing w:after="0"/>
        <w:rPr>
          <w:rFonts w:ascii="Garamond" w:hAnsi="Garamond"/>
        </w:rPr>
      </w:pPr>
      <w:r w:rsidRPr="00D73639">
        <w:rPr>
          <w:rFonts w:ascii="Garamond" w:hAnsi="Garamond"/>
        </w:rPr>
        <w:t>Health New England</w:t>
      </w:r>
    </w:p>
    <w:p w14:paraId="443DDCED" w14:textId="77777777" w:rsidR="00D73639" w:rsidRPr="00D73639" w:rsidRDefault="00D73639" w:rsidP="00D73639">
      <w:pPr>
        <w:pStyle w:val="ListParagraph"/>
        <w:numPr>
          <w:ilvl w:val="0"/>
          <w:numId w:val="11"/>
        </w:numPr>
        <w:spacing w:after="0"/>
        <w:rPr>
          <w:rFonts w:ascii="Garamond" w:hAnsi="Garamond"/>
        </w:rPr>
      </w:pPr>
      <w:r w:rsidRPr="00D73639">
        <w:rPr>
          <w:rFonts w:ascii="Garamond" w:hAnsi="Garamond"/>
        </w:rPr>
        <w:t>Minuteman Health</w:t>
      </w:r>
    </w:p>
    <w:p w14:paraId="145149A4" w14:textId="77777777" w:rsidR="00D73639" w:rsidRPr="00D73639" w:rsidRDefault="00D73639" w:rsidP="00D73639">
      <w:pPr>
        <w:pStyle w:val="ListParagraph"/>
        <w:numPr>
          <w:ilvl w:val="0"/>
          <w:numId w:val="11"/>
        </w:numPr>
        <w:spacing w:after="0"/>
        <w:rPr>
          <w:rFonts w:ascii="Garamond" w:hAnsi="Garamond"/>
        </w:rPr>
      </w:pPr>
      <w:r w:rsidRPr="00D73639">
        <w:rPr>
          <w:rFonts w:ascii="Garamond" w:hAnsi="Garamond"/>
        </w:rPr>
        <w:t>Neighborhood Health Plan</w:t>
      </w:r>
    </w:p>
    <w:p w14:paraId="0D82DCC4" w14:textId="77777777" w:rsidR="00D73639" w:rsidRPr="00D73639" w:rsidRDefault="00D73639" w:rsidP="00D73639">
      <w:pPr>
        <w:pStyle w:val="ListParagraph"/>
        <w:numPr>
          <w:ilvl w:val="0"/>
          <w:numId w:val="11"/>
        </w:numPr>
        <w:spacing w:after="0"/>
        <w:rPr>
          <w:rFonts w:ascii="Garamond" w:hAnsi="Garamond"/>
        </w:rPr>
      </w:pPr>
      <w:r w:rsidRPr="00D73639">
        <w:rPr>
          <w:rFonts w:ascii="Garamond" w:hAnsi="Garamond"/>
        </w:rPr>
        <w:lastRenderedPageBreak/>
        <w:t>Network Health</w:t>
      </w:r>
    </w:p>
    <w:p w14:paraId="705C09EA" w14:textId="77777777" w:rsidR="00D73639" w:rsidRPr="00D73639" w:rsidRDefault="00D73639" w:rsidP="00D73639">
      <w:pPr>
        <w:pStyle w:val="ListParagraph"/>
        <w:numPr>
          <w:ilvl w:val="0"/>
          <w:numId w:val="11"/>
        </w:numPr>
        <w:spacing w:after="0"/>
        <w:rPr>
          <w:rFonts w:ascii="Garamond" w:hAnsi="Garamond"/>
        </w:rPr>
      </w:pPr>
      <w:r w:rsidRPr="00D73639">
        <w:rPr>
          <w:rFonts w:ascii="Garamond" w:hAnsi="Garamond"/>
        </w:rPr>
        <w:t>Tufts Health Plan</w:t>
      </w:r>
    </w:p>
    <w:p w14:paraId="15F5577D" w14:textId="77777777" w:rsidR="00D73639" w:rsidRPr="00D73639" w:rsidRDefault="00D73639" w:rsidP="00D73639">
      <w:pPr>
        <w:pStyle w:val="ListParagraph"/>
        <w:numPr>
          <w:ilvl w:val="0"/>
          <w:numId w:val="11"/>
        </w:numPr>
        <w:spacing w:after="0"/>
        <w:rPr>
          <w:rFonts w:ascii="Garamond" w:hAnsi="Garamond"/>
        </w:rPr>
      </w:pPr>
      <w:r w:rsidRPr="00D73639">
        <w:rPr>
          <w:rFonts w:ascii="Garamond" w:hAnsi="Garamond"/>
        </w:rPr>
        <w:t>United Healthcare</w:t>
      </w:r>
    </w:p>
    <w:p w14:paraId="002A0518" w14:textId="77777777" w:rsidR="00D73639" w:rsidRPr="00D73639" w:rsidRDefault="00D73639" w:rsidP="00D73639">
      <w:pPr>
        <w:pStyle w:val="ListParagraph"/>
        <w:numPr>
          <w:ilvl w:val="0"/>
          <w:numId w:val="11"/>
        </w:numPr>
        <w:spacing w:after="0"/>
        <w:rPr>
          <w:rFonts w:ascii="Garamond" w:hAnsi="Garamond"/>
        </w:rPr>
      </w:pPr>
      <w:r w:rsidRPr="00D73639">
        <w:rPr>
          <w:rFonts w:ascii="Garamond" w:hAnsi="Garamond"/>
        </w:rPr>
        <w:t>WellPoint (</w:t>
      </w:r>
      <w:r w:rsidR="00254417">
        <w:rPr>
          <w:rFonts w:ascii="Garamond" w:hAnsi="Garamond"/>
        </w:rPr>
        <w:t xml:space="preserve">formerly </w:t>
      </w:r>
      <w:proofErr w:type="spellStart"/>
      <w:r w:rsidRPr="00D73639">
        <w:rPr>
          <w:rFonts w:ascii="Garamond" w:hAnsi="Garamond"/>
        </w:rPr>
        <w:t>UniCare</w:t>
      </w:r>
      <w:proofErr w:type="spellEnd"/>
      <w:r w:rsidRPr="00D73639">
        <w:rPr>
          <w:rFonts w:ascii="Garamond" w:hAnsi="Garamond"/>
        </w:rPr>
        <w:t>)</w:t>
      </w:r>
    </w:p>
    <w:p w14:paraId="67122369" w14:textId="77777777" w:rsidR="00D73639" w:rsidRPr="00D73639" w:rsidRDefault="00D73639" w:rsidP="00D73639">
      <w:pPr>
        <w:spacing w:after="0"/>
        <w:rPr>
          <w:rFonts w:ascii="Garamond" w:hAnsi="Garamond"/>
        </w:rPr>
      </w:pPr>
    </w:p>
    <w:p w14:paraId="3DE56E1B" w14:textId="77777777" w:rsidR="00D73639" w:rsidRPr="00D73639" w:rsidRDefault="00D73639" w:rsidP="00D73639">
      <w:pPr>
        <w:spacing w:after="0"/>
        <w:rPr>
          <w:rFonts w:ascii="Garamond" w:hAnsi="Garamond"/>
        </w:rPr>
      </w:pPr>
      <w:r w:rsidRPr="00D73639">
        <w:rPr>
          <w:rFonts w:ascii="Garamond" w:hAnsi="Garamond"/>
        </w:rPr>
        <w:t>Membership totals included all Massachusetts residents enrolled with primary, medical coverage within commercial fully-insured or self-insured products within all payer-affiliated carriers or administrators, including membership within:  Qualified Health Plans procured inside and outside of the Massachusetts Health Connector</w:t>
      </w:r>
      <w:r w:rsidR="006F46D3">
        <w:rPr>
          <w:rFonts w:ascii="Garamond" w:hAnsi="Garamond"/>
        </w:rPr>
        <w:t>,</w:t>
      </w:r>
      <w:r w:rsidR="006F46D3" w:rsidRPr="00D73639">
        <w:rPr>
          <w:rFonts w:ascii="Garamond" w:hAnsi="Garamond"/>
        </w:rPr>
        <w:t xml:space="preserve"> </w:t>
      </w:r>
      <w:r w:rsidRPr="00D73639">
        <w:rPr>
          <w:rFonts w:ascii="Garamond" w:hAnsi="Garamond"/>
        </w:rPr>
        <w:t>Commonwealth Care</w:t>
      </w:r>
      <w:r w:rsidR="006F46D3">
        <w:rPr>
          <w:rFonts w:ascii="Garamond" w:hAnsi="Garamond"/>
        </w:rPr>
        <w:t>,</w:t>
      </w:r>
      <w:r w:rsidR="006F46D3" w:rsidRPr="00D73639">
        <w:rPr>
          <w:rFonts w:ascii="Garamond" w:hAnsi="Garamond"/>
        </w:rPr>
        <w:t xml:space="preserve"> </w:t>
      </w:r>
      <w:r w:rsidRPr="00D73639">
        <w:rPr>
          <w:rFonts w:ascii="Garamond" w:hAnsi="Garamond"/>
        </w:rPr>
        <w:t>Commonwealth Choice</w:t>
      </w:r>
      <w:r w:rsidR="006F46D3">
        <w:rPr>
          <w:rFonts w:ascii="Garamond" w:hAnsi="Garamond"/>
        </w:rPr>
        <w:t>,</w:t>
      </w:r>
      <w:r w:rsidR="006F46D3" w:rsidRPr="00D73639">
        <w:rPr>
          <w:rFonts w:ascii="Garamond" w:hAnsi="Garamond"/>
        </w:rPr>
        <w:t xml:space="preserve"> </w:t>
      </w:r>
      <w:r w:rsidRPr="00D73639">
        <w:rPr>
          <w:rFonts w:ascii="Garamond" w:hAnsi="Garamond"/>
        </w:rPr>
        <w:t>Federal Employee Health Benefit Plans</w:t>
      </w:r>
      <w:r w:rsidR="006F46D3">
        <w:rPr>
          <w:rFonts w:ascii="Garamond" w:hAnsi="Garamond"/>
        </w:rPr>
        <w:t>,</w:t>
      </w:r>
      <w:r w:rsidR="006F46D3" w:rsidRPr="00D73639">
        <w:rPr>
          <w:rFonts w:ascii="Garamond" w:hAnsi="Garamond"/>
        </w:rPr>
        <w:t xml:space="preserve"> </w:t>
      </w:r>
      <w:r w:rsidRPr="00D73639">
        <w:rPr>
          <w:rFonts w:ascii="Garamond" w:hAnsi="Garamond"/>
        </w:rPr>
        <w:t>Group Insurance Commission plans</w:t>
      </w:r>
      <w:r w:rsidR="006F46D3">
        <w:rPr>
          <w:rFonts w:ascii="Garamond" w:hAnsi="Garamond"/>
        </w:rPr>
        <w:t>,</w:t>
      </w:r>
      <w:r w:rsidR="006F46D3" w:rsidRPr="00D73639">
        <w:rPr>
          <w:rFonts w:ascii="Garamond" w:hAnsi="Garamond"/>
        </w:rPr>
        <w:t xml:space="preserve"> </w:t>
      </w:r>
      <w:r w:rsidRPr="00D73639">
        <w:rPr>
          <w:rFonts w:ascii="Garamond" w:hAnsi="Garamond"/>
        </w:rPr>
        <w:t>the Medical Security Program</w:t>
      </w:r>
      <w:r w:rsidR="006F46D3">
        <w:rPr>
          <w:rFonts w:ascii="Garamond" w:hAnsi="Garamond"/>
        </w:rPr>
        <w:t>,</w:t>
      </w:r>
      <w:r w:rsidR="006F46D3" w:rsidRPr="00D73639">
        <w:rPr>
          <w:rFonts w:ascii="Garamond" w:hAnsi="Garamond"/>
        </w:rPr>
        <w:t xml:space="preserve"> </w:t>
      </w:r>
      <w:r w:rsidRPr="00D73639">
        <w:rPr>
          <w:rFonts w:ascii="Garamond" w:hAnsi="Garamond"/>
        </w:rPr>
        <w:t xml:space="preserve">and Student Health Insurance Plans.  Where possible, payers were asked to include host membership, members contracted out of state but residing in Massachusetts.  Membership in </w:t>
      </w:r>
      <w:proofErr w:type="gramStart"/>
      <w:r w:rsidRPr="00D73639">
        <w:rPr>
          <w:rFonts w:ascii="Garamond" w:hAnsi="Garamond"/>
        </w:rPr>
        <w:t>joint-ventures</w:t>
      </w:r>
      <w:proofErr w:type="gramEnd"/>
      <w:r w:rsidRPr="00D73639">
        <w:rPr>
          <w:rFonts w:ascii="Garamond" w:hAnsi="Garamond"/>
        </w:rPr>
        <w:t xml:space="preserve"> between plans is reported by the primary administrator.  </w:t>
      </w:r>
    </w:p>
    <w:p w14:paraId="25BDC672" w14:textId="77777777" w:rsidR="00D73639" w:rsidRPr="00D73639" w:rsidRDefault="00D73639" w:rsidP="00D73639">
      <w:pPr>
        <w:spacing w:after="0"/>
        <w:rPr>
          <w:rFonts w:ascii="Garamond" w:hAnsi="Garamond"/>
        </w:rPr>
      </w:pPr>
    </w:p>
    <w:p w14:paraId="7C72C593" w14:textId="77777777" w:rsidR="00D73639" w:rsidRPr="00D73639" w:rsidRDefault="00D73639" w:rsidP="00D73639">
      <w:pPr>
        <w:spacing w:after="0"/>
        <w:rPr>
          <w:rFonts w:ascii="Garamond" w:hAnsi="Garamond"/>
        </w:rPr>
      </w:pPr>
      <w:r w:rsidRPr="00D73639">
        <w:rPr>
          <w:rFonts w:ascii="Garamond" w:hAnsi="Garamond"/>
        </w:rPr>
        <w:t>From payer-reported data, Commonwealth Care and Medical Security Program totals, as provided by the Massachusetts Health Connector, were then subtracted to more accurately present commercial and public coverage totals and trends.  The membership of HPHC</w:t>
      </w:r>
      <w:r w:rsidR="006F46D3">
        <w:rPr>
          <w:rFonts w:ascii="Garamond" w:hAnsi="Garamond"/>
        </w:rPr>
        <w:t>’s and</w:t>
      </w:r>
      <w:r w:rsidRPr="00D73639">
        <w:rPr>
          <w:rFonts w:ascii="Garamond" w:hAnsi="Garamond"/>
        </w:rPr>
        <w:t xml:space="preserve"> United Healthcare</w:t>
      </w:r>
      <w:r w:rsidR="006F46D3">
        <w:rPr>
          <w:rFonts w:ascii="Garamond" w:hAnsi="Garamond"/>
        </w:rPr>
        <w:t>’s</w:t>
      </w:r>
      <w:r w:rsidRPr="00D73639">
        <w:rPr>
          <w:rFonts w:ascii="Garamond" w:hAnsi="Garamond"/>
        </w:rPr>
        <w:t xml:space="preserve"> Joint Venture, Compass, is reported within HPHC’s total in its entirety through December 2013, though not all members were Massachusetts residents; this may result in a small overstatement of HPHC enrollment.  </w:t>
      </w:r>
    </w:p>
    <w:p w14:paraId="5A128127" w14:textId="77777777" w:rsidR="00D73639" w:rsidRPr="00D73639" w:rsidRDefault="00D73639" w:rsidP="00D73639">
      <w:pPr>
        <w:spacing w:after="0"/>
        <w:rPr>
          <w:rFonts w:ascii="Garamond" w:hAnsi="Garamond"/>
        </w:rPr>
      </w:pPr>
    </w:p>
    <w:p w14:paraId="12F18C9D" w14:textId="77777777" w:rsidR="00F07FE1" w:rsidRDefault="00D73639" w:rsidP="00926B0E">
      <w:pPr>
        <w:spacing w:after="0"/>
        <w:rPr>
          <w:rFonts w:ascii="Garamond" w:hAnsi="Garamond"/>
        </w:rPr>
      </w:pPr>
      <w:r w:rsidRPr="00D73639">
        <w:rPr>
          <w:rFonts w:ascii="Garamond" w:hAnsi="Garamond"/>
        </w:rPr>
        <w:t>Market concentrations were calculated based on the market only as reported by these sixteen payers.</w:t>
      </w:r>
    </w:p>
    <w:p w14:paraId="57AC1589" w14:textId="77777777" w:rsidR="006F46D3" w:rsidRDefault="006F46D3" w:rsidP="00926B0E">
      <w:pPr>
        <w:spacing w:after="0"/>
        <w:rPr>
          <w:rFonts w:ascii="Garamond" w:hAnsi="Garamond"/>
        </w:rPr>
      </w:pPr>
    </w:p>
    <w:p w14:paraId="7FC312F0" w14:textId="77777777" w:rsidR="006F46D3" w:rsidRPr="00D073D7" w:rsidRDefault="006F46D3" w:rsidP="006F46D3">
      <w:pPr>
        <w:spacing w:after="0"/>
        <w:jc w:val="both"/>
        <w:rPr>
          <w:rFonts w:ascii="Garamond" w:hAnsi="Garamond"/>
          <w:b/>
          <w:color w:val="4F81BD" w:themeColor="accent1"/>
          <w:sz w:val="28"/>
          <w:u w:val="single"/>
        </w:rPr>
      </w:pPr>
      <w:r w:rsidRPr="00D073D7">
        <w:rPr>
          <w:rFonts w:ascii="Garamond" w:hAnsi="Garamond"/>
          <w:b/>
          <w:color w:val="4F81BD" w:themeColor="accent1"/>
          <w:sz w:val="28"/>
          <w:u w:val="single"/>
        </w:rPr>
        <w:t>Alternative Payment Methods (APM)</w:t>
      </w:r>
    </w:p>
    <w:p w14:paraId="79BA9026" w14:textId="77777777" w:rsidR="006F46D3" w:rsidRPr="00F77A80" w:rsidRDefault="006F46D3" w:rsidP="006F46D3">
      <w:pPr>
        <w:jc w:val="both"/>
        <w:rPr>
          <w:rFonts w:ascii="Garamond" w:hAnsi="Garamond"/>
        </w:rPr>
      </w:pPr>
      <w:r w:rsidRPr="00D73639">
        <w:rPr>
          <w:rFonts w:ascii="Garamond" w:hAnsi="Garamond"/>
        </w:rPr>
        <w:t xml:space="preserve">[Metric related to </w:t>
      </w:r>
      <w:r>
        <w:rPr>
          <w:rFonts w:ascii="Garamond" w:hAnsi="Garamond"/>
        </w:rPr>
        <w:t>S</w:t>
      </w:r>
      <w:r w:rsidRPr="00D73639">
        <w:rPr>
          <w:rFonts w:ascii="Garamond" w:hAnsi="Garamond"/>
        </w:rPr>
        <w:t>upplement 1</w:t>
      </w:r>
      <w:r>
        <w:rPr>
          <w:rFonts w:ascii="Garamond" w:hAnsi="Garamond"/>
        </w:rPr>
        <w:t>1</w:t>
      </w:r>
      <w:r w:rsidRPr="00D73639">
        <w:rPr>
          <w:rFonts w:ascii="Garamond" w:hAnsi="Garamond"/>
        </w:rPr>
        <w:t>]</w:t>
      </w:r>
    </w:p>
    <w:p w14:paraId="0538F187" w14:textId="77777777" w:rsidR="006F46D3" w:rsidRDefault="007220A9" w:rsidP="006F46D3">
      <w:pPr>
        <w:rPr>
          <w:rFonts w:ascii="Garamond" w:hAnsi="Garamond"/>
        </w:rPr>
      </w:pPr>
      <w:r>
        <w:rPr>
          <w:rFonts w:ascii="Garamond" w:hAnsi="Garamond"/>
          <w:b/>
        </w:rPr>
        <w:t>Definition</w:t>
      </w:r>
      <w:r w:rsidR="006F46D3" w:rsidRPr="00D73639">
        <w:rPr>
          <w:rFonts w:ascii="Garamond" w:hAnsi="Garamond"/>
          <w:b/>
        </w:rPr>
        <w:t xml:space="preserve">: </w:t>
      </w:r>
      <w:r w:rsidR="006F46D3" w:rsidRPr="00D73639">
        <w:rPr>
          <w:rFonts w:ascii="Garamond" w:hAnsi="Garamond"/>
        </w:rPr>
        <w:t>APMs are payment methods used by a payer to reimburse heath care providers that are not solely based on the fee-for-service (FFS) basis.</w:t>
      </w:r>
    </w:p>
    <w:p w14:paraId="749674EC" w14:textId="77777777" w:rsidR="007220A9" w:rsidRPr="00D73639" w:rsidRDefault="007220A9" w:rsidP="007220A9">
      <w:pPr>
        <w:rPr>
          <w:rFonts w:ascii="Garamond" w:hAnsi="Garamond"/>
          <w:b/>
        </w:rPr>
      </w:pPr>
      <w:r>
        <w:rPr>
          <w:rFonts w:ascii="Garamond" w:hAnsi="Garamond"/>
          <w:b/>
        </w:rPr>
        <w:t>Data Y</w:t>
      </w:r>
      <w:r w:rsidRPr="00D73639">
        <w:rPr>
          <w:rFonts w:ascii="Garamond" w:hAnsi="Garamond"/>
          <w:b/>
        </w:rPr>
        <w:t xml:space="preserve">ear: </w:t>
      </w:r>
      <w:r w:rsidRPr="00D73639">
        <w:rPr>
          <w:rFonts w:ascii="Garamond" w:hAnsi="Garamond"/>
        </w:rPr>
        <w:t>CYs 2012 and 2013</w:t>
      </w:r>
      <w:r w:rsidRPr="00D73639">
        <w:rPr>
          <w:rFonts w:ascii="Garamond" w:hAnsi="Garamond"/>
          <w:b/>
        </w:rPr>
        <w:t xml:space="preserve"> </w:t>
      </w:r>
    </w:p>
    <w:p w14:paraId="4B107A5E" w14:textId="77777777" w:rsidR="006F46D3" w:rsidRPr="00D73639" w:rsidRDefault="006F46D3" w:rsidP="006F46D3">
      <w:pPr>
        <w:rPr>
          <w:rFonts w:ascii="Garamond" w:hAnsi="Garamond"/>
        </w:rPr>
      </w:pPr>
      <w:r w:rsidRPr="00D73639">
        <w:rPr>
          <w:rFonts w:ascii="Garamond" w:hAnsi="Garamond"/>
          <w:b/>
        </w:rPr>
        <w:t>Data</w:t>
      </w:r>
      <w:r w:rsidR="007220A9">
        <w:rPr>
          <w:rFonts w:ascii="Garamond" w:hAnsi="Garamond"/>
          <w:b/>
        </w:rPr>
        <w:t xml:space="preserve"> Source</w:t>
      </w:r>
      <w:r w:rsidRPr="00D73639">
        <w:rPr>
          <w:rFonts w:ascii="Garamond" w:hAnsi="Garamond"/>
          <w:b/>
        </w:rPr>
        <w:t xml:space="preserve">:  </w:t>
      </w:r>
      <w:r w:rsidRPr="00D73639">
        <w:rPr>
          <w:rFonts w:ascii="Garamond" w:hAnsi="Garamond"/>
        </w:rPr>
        <w:t xml:space="preserve">In May 2014, CHIA collected data on APM from the ten largest commercial payers in the Massachusetts commercial health insurance market, and commercial payers that offered Medicare Advantage plans, </w:t>
      </w:r>
      <w:proofErr w:type="spellStart"/>
      <w:r w:rsidRPr="00D73639">
        <w:rPr>
          <w:rFonts w:ascii="Garamond" w:hAnsi="Garamond"/>
        </w:rPr>
        <w:t>MassHealth</w:t>
      </w:r>
      <w:proofErr w:type="spellEnd"/>
      <w:r w:rsidRPr="00D73639">
        <w:rPr>
          <w:rFonts w:ascii="Garamond" w:hAnsi="Garamond"/>
        </w:rPr>
        <w:t xml:space="preserve"> MCO plans, and Commonwealth Care plans for CY 2013. Please see Table TA-1 for a full list of payers and reported data. The APM data was collected at the member zip code level and the managing physician group level, similar to the TME data. The reported payment information, especially the non-claims payments, could differ from the final payment amounts since quality and financial performance is normally part of the features of alternative payment methods. And these final settlements for quality and financial performance have not been completed at the time of APM data submission deadline, which was May 15</w:t>
      </w:r>
      <w:r w:rsidRPr="00D73639">
        <w:rPr>
          <w:rFonts w:ascii="Garamond" w:hAnsi="Garamond"/>
          <w:vertAlign w:val="superscript"/>
        </w:rPr>
        <w:t>th</w:t>
      </w:r>
      <w:r w:rsidRPr="00D73639">
        <w:rPr>
          <w:rFonts w:ascii="Garamond" w:hAnsi="Garamond"/>
        </w:rPr>
        <w:t>, 2014.</w:t>
      </w:r>
      <w:r w:rsidRPr="00D73639">
        <w:rPr>
          <w:rStyle w:val="FootnoteReference"/>
          <w:rFonts w:ascii="Garamond" w:hAnsi="Garamond"/>
        </w:rPr>
        <w:footnoteReference w:id="11"/>
      </w:r>
    </w:p>
    <w:p w14:paraId="52335312" w14:textId="77777777" w:rsidR="006F46D3" w:rsidRPr="00D73639" w:rsidRDefault="006F46D3" w:rsidP="006F46D3">
      <w:pPr>
        <w:rPr>
          <w:rFonts w:ascii="Garamond" w:hAnsi="Garamond"/>
          <w:b/>
          <w:u w:val="single"/>
        </w:rPr>
      </w:pPr>
      <w:r w:rsidRPr="00D73639">
        <w:rPr>
          <w:rFonts w:ascii="Garamond" w:hAnsi="Garamond"/>
        </w:rPr>
        <w:t xml:space="preserve">The APM data is collected by insurance category, by product type, and by payment method for reporting according to member zip code and managing physician group.  The APM data is only collected for </w:t>
      </w:r>
      <w:proofErr w:type="gramStart"/>
      <w:r w:rsidRPr="00D73639">
        <w:rPr>
          <w:rFonts w:ascii="Garamond" w:hAnsi="Garamond"/>
        </w:rPr>
        <w:t>Massachusetts</w:t>
      </w:r>
      <w:proofErr w:type="gramEnd"/>
      <w:r w:rsidRPr="00D73639">
        <w:rPr>
          <w:rFonts w:ascii="Garamond" w:hAnsi="Garamond"/>
        </w:rPr>
        <w:t xml:space="preserve"> residents, as determined by the member’s residence on the last day of the reporting year, and for managing physician groups based in Massachusetts.  For payment method assignment, payers classified payment methods for physician groups and </w:t>
      </w:r>
      <w:r w:rsidRPr="00D73639">
        <w:rPr>
          <w:rFonts w:ascii="Garamond" w:hAnsi="Garamond"/>
        </w:rPr>
        <w:lastRenderedPageBreak/>
        <w:t>members based on the payment method allocation hierarchy:  (1) global payment; (2) limited budget; (3) bundled payment; (4) other, non-FFS based; and (5) FFS.</w:t>
      </w:r>
      <w:r w:rsidRPr="00D73639">
        <w:rPr>
          <w:rStyle w:val="FootnoteReference"/>
          <w:rFonts w:ascii="Garamond" w:hAnsi="Garamond"/>
        </w:rPr>
        <w:footnoteReference w:id="12"/>
      </w:r>
    </w:p>
    <w:p w14:paraId="1606BB19" w14:textId="77777777" w:rsidR="006F46D3" w:rsidRPr="00D73639" w:rsidRDefault="006F46D3" w:rsidP="006F46D3">
      <w:pPr>
        <w:rPr>
          <w:rFonts w:ascii="Garamond" w:hAnsi="Garamond"/>
          <w:b/>
        </w:rPr>
      </w:pPr>
      <w:r w:rsidRPr="00D73639">
        <w:rPr>
          <w:rFonts w:ascii="Garamond" w:hAnsi="Garamond"/>
          <w:b/>
        </w:rPr>
        <w:t xml:space="preserve">Definitions: </w:t>
      </w:r>
    </w:p>
    <w:p w14:paraId="1B447498" w14:textId="77777777" w:rsidR="006F46D3" w:rsidRPr="00D73639" w:rsidRDefault="006F46D3" w:rsidP="006F46D3">
      <w:pPr>
        <w:rPr>
          <w:rFonts w:ascii="Garamond" w:hAnsi="Garamond"/>
        </w:rPr>
      </w:pPr>
      <w:r w:rsidRPr="00D73639">
        <w:rPr>
          <w:rFonts w:ascii="Garamond" w:hAnsi="Garamond"/>
          <w:u w:val="single"/>
        </w:rPr>
        <w:t>Global Payment</w:t>
      </w:r>
      <w:r w:rsidRPr="00D73639">
        <w:rPr>
          <w:rFonts w:ascii="Garamond" w:hAnsi="Garamond"/>
        </w:rPr>
        <w:t xml:space="preserve">:  Global payments are a type of payment arrangement between payers and </w:t>
      </w:r>
      <w:proofErr w:type="gramStart"/>
      <w:r w:rsidRPr="00D73639">
        <w:rPr>
          <w:rFonts w:ascii="Garamond" w:hAnsi="Garamond"/>
        </w:rPr>
        <w:t>providers that establishes</w:t>
      </w:r>
      <w:proofErr w:type="gramEnd"/>
      <w:r w:rsidRPr="00D73639">
        <w:rPr>
          <w:rFonts w:ascii="Garamond" w:hAnsi="Garamond"/>
        </w:rPr>
        <w:t xml:space="preserve"> a spending target for a comprehensive set of health care services to be delivered to a specified population during a defined time period. Global payment arrangements may shift some financial risk from payers to providers.  In these cases, if costs exceed the budgeted amounts, providers must absorb those costs, subject to negotiated risk sharing agreements.</w:t>
      </w:r>
      <w:r w:rsidRPr="00D73639">
        <w:rPr>
          <w:rFonts w:ascii="Garamond" w:hAnsi="Garamond"/>
          <w:vertAlign w:val="superscript"/>
        </w:rPr>
        <w:footnoteReference w:id="13"/>
      </w:r>
      <w:r w:rsidRPr="00D73639">
        <w:rPr>
          <w:rFonts w:ascii="Garamond" w:hAnsi="Garamond"/>
        </w:rPr>
        <w:t xml:space="preserve"> On the other hand, providers may share in, or retain, the savings if costs are lower than the budgeted amounts and health care quality performance targets are met.</w:t>
      </w:r>
    </w:p>
    <w:p w14:paraId="2C399BC6" w14:textId="77777777" w:rsidR="006F46D3" w:rsidRPr="00D73639" w:rsidRDefault="006F46D3" w:rsidP="006F46D3">
      <w:pPr>
        <w:rPr>
          <w:rFonts w:ascii="Garamond" w:hAnsi="Garamond"/>
        </w:rPr>
      </w:pPr>
      <w:r w:rsidRPr="00D73639">
        <w:rPr>
          <w:rFonts w:ascii="Garamond" w:hAnsi="Garamond"/>
        </w:rPr>
        <w:t>It is important to note that within the framework of a global payment arrangement with a managing physician group, payments to service providers are generally made on a FFS basis.  Also, global payments as defined here do not consider the extent of risk, if any, borne by the managing physician group.  It is difficult to capture levels of risk, as there is currently no standardized approach to risk classification or reporting.</w:t>
      </w:r>
      <w:r w:rsidRPr="00D73639">
        <w:rPr>
          <w:rFonts w:ascii="Garamond" w:hAnsi="Garamond"/>
          <w:vertAlign w:val="superscript"/>
        </w:rPr>
        <w:footnoteReference w:id="14"/>
      </w:r>
    </w:p>
    <w:p w14:paraId="3919C961" w14:textId="77777777" w:rsidR="006F46D3" w:rsidRPr="00D73639" w:rsidRDefault="006F46D3" w:rsidP="006F46D3">
      <w:pPr>
        <w:rPr>
          <w:rFonts w:ascii="Garamond" w:hAnsi="Garamond"/>
        </w:rPr>
      </w:pPr>
      <w:r w:rsidRPr="00D73639">
        <w:rPr>
          <w:rFonts w:ascii="Garamond" w:hAnsi="Garamond"/>
          <w:u w:val="single"/>
        </w:rPr>
        <w:t>Limited Budget</w:t>
      </w:r>
      <w:r w:rsidRPr="00D73639">
        <w:rPr>
          <w:rFonts w:ascii="Garamond" w:hAnsi="Garamond"/>
        </w:rPr>
        <w:t>:  Limited budgets, like global payments, represent a move away from FFS-based payments.  Limited budgets are payment arrangements whereby payers and providers, either prospectively or retrospectively, agree to pay for a specific set of services to be delivered by a single provider.  This could include, for instance, capitated primary care or oncology services.  Limited budgets also shift some financial risk from payers to providers.</w:t>
      </w:r>
    </w:p>
    <w:p w14:paraId="2D4F6EE6" w14:textId="77777777" w:rsidR="006F46D3" w:rsidRPr="00D73639" w:rsidRDefault="006F46D3" w:rsidP="006F46D3">
      <w:pPr>
        <w:rPr>
          <w:rFonts w:ascii="Garamond" w:hAnsi="Garamond"/>
        </w:rPr>
      </w:pPr>
      <w:r w:rsidRPr="00D73639">
        <w:rPr>
          <w:rFonts w:ascii="Garamond" w:hAnsi="Garamond"/>
          <w:u w:val="single"/>
        </w:rPr>
        <w:t>Bundled Payment</w:t>
      </w:r>
      <w:r w:rsidRPr="00D73639">
        <w:rPr>
          <w:rFonts w:ascii="Garamond" w:hAnsi="Garamond"/>
        </w:rPr>
        <w:t>:</w:t>
      </w:r>
      <w:r w:rsidRPr="00D73639">
        <w:rPr>
          <w:rFonts w:ascii="Garamond" w:hAnsi="Garamond"/>
          <w:b/>
        </w:rPr>
        <w:t xml:space="preserve"> </w:t>
      </w:r>
      <w:r w:rsidRPr="00D73639">
        <w:rPr>
          <w:rFonts w:ascii="Garamond" w:hAnsi="Garamond"/>
        </w:rPr>
        <w:t xml:space="preserve"> Bundled payments are a method of reimbursing providers, or a group of providers, for providing multiple health care services associated with defined “episodes of care” (e.g. knee surgery, pregnancy and delivery, and etc.) for a patient or set of patients.  These payments may include services developed based upon clinical guidelines, severity adjustments to account for the general health status of a patient and comorbidities (other related ailments), and even designated “profit” margins and allowances for potential complications.</w:t>
      </w:r>
      <w:r w:rsidRPr="00D73639">
        <w:rPr>
          <w:rFonts w:ascii="Garamond" w:hAnsi="Garamond"/>
          <w:vertAlign w:val="superscript"/>
        </w:rPr>
        <w:footnoteReference w:id="15"/>
      </w:r>
    </w:p>
    <w:p w14:paraId="5B5E2D2B" w14:textId="77777777" w:rsidR="006F46D3" w:rsidRPr="00D73639" w:rsidRDefault="006F46D3" w:rsidP="006F46D3">
      <w:pPr>
        <w:rPr>
          <w:rFonts w:ascii="Garamond" w:hAnsi="Garamond"/>
        </w:rPr>
      </w:pPr>
      <w:r w:rsidRPr="00D73639">
        <w:rPr>
          <w:rFonts w:ascii="Garamond" w:hAnsi="Garamond"/>
          <w:u w:val="single"/>
        </w:rPr>
        <w:t>Other, non-FFS-based</w:t>
      </w:r>
      <w:r w:rsidRPr="00D73639">
        <w:rPr>
          <w:rFonts w:ascii="Garamond" w:hAnsi="Garamond"/>
        </w:rPr>
        <w:t>:  This category includes all other payment arrangements that are not based on a FFS model, but that also do not easily fit into any of the other categories.  This category includes supplemental payments for the Patient Center Medical Home Initiative (PCHMI), for instance.</w:t>
      </w:r>
    </w:p>
    <w:p w14:paraId="46F7ACA1" w14:textId="77777777" w:rsidR="006F46D3" w:rsidRDefault="006F46D3" w:rsidP="006F46D3">
      <w:pPr>
        <w:autoSpaceDE w:val="0"/>
        <w:autoSpaceDN w:val="0"/>
        <w:adjustRightInd w:val="0"/>
        <w:rPr>
          <w:rFonts w:ascii="Garamond" w:hAnsi="Garamond"/>
        </w:rPr>
      </w:pPr>
      <w:proofErr w:type="gramStart"/>
      <w:r w:rsidRPr="00D73639">
        <w:rPr>
          <w:rFonts w:ascii="Garamond" w:hAnsi="Garamond"/>
          <w:u w:val="single"/>
        </w:rPr>
        <w:t>Fee-for-service (FFS)</w:t>
      </w:r>
      <w:r w:rsidRPr="00D73639">
        <w:rPr>
          <w:rFonts w:ascii="Garamond" w:hAnsi="Garamond"/>
        </w:rPr>
        <w:t>: Under this model, health care providers are reimbursed by payers at negotiated rates for individual services delivered to patients</w:t>
      </w:r>
      <w:proofErr w:type="gramEnd"/>
      <w:r w:rsidRPr="00D73639">
        <w:rPr>
          <w:rFonts w:ascii="Garamond" w:hAnsi="Garamond"/>
        </w:rPr>
        <w:t>.  A variety of FFS payment arrangements exist, including, but not limited to, Diagnosis Related Groups (DRGs), per-diem payments, claim-based payments adjusted by performance measures, and discounted charge-based payments. This category also includes pay-for-performance incentives that accompany FFS payments.</w:t>
      </w:r>
    </w:p>
    <w:p w14:paraId="26A66672" w14:textId="77777777" w:rsidR="000A5A76" w:rsidRDefault="000A5A76" w:rsidP="006F46D3">
      <w:pPr>
        <w:autoSpaceDE w:val="0"/>
        <w:autoSpaceDN w:val="0"/>
        <w:adjustRightInd w:val="0"/>
        <w:rPr>
          <w:rFonts w:ascii="Garamond" w:hAnsi="Garamond"/>
        </w:rPr>
      </w:pPr>
    </w:p>
    <w:p w14:paraId="58B4E19A" w14:textId="77777777" w:rsidR="000A5A76" w:rsidRDefault="000A5A76" w:rsidP="006F46D3">
      <w:pPr>
        <w:autoSpaceDE w:val="0"/>
        <w:autoSpaceDN w:val="0"/>
        <w:adjustRightInd w:val="0"/>
        <w:rPr>
          <w:rFonts w:ascii="Garamond" w:hAnsi="Garamond"/>
        </w:rPr>
      </w:pPr>
    </w:p>
    <w:p w14:paraId="2E3FC802" w14:textId="77777777" w:rsidR="000A5A76" w:rsidRPr="00D73639" w:rsidRDefault="000A5A76" w:rsidP="006F46D3">
      <w:pPr>
        <w:autoSpaceDE w:val="0"/>
        <w:autoSpaceDN w:val="0"/>
        <w:adjustRightInd w:val="0"/>
        <w:rPr>
          <w:rFonts w:ascii="Garamond" w:hAnsi="Garamond"/>
        </w:rPr>
      </w:pPr>
    </w:p>
    <w:p w14:paraId="5FE8C041" w14:textId="77777777" w:rsidR="006F46D3" w:rsidRPr="00D73639" w:rsidRDefault="000A5A76" w:rsidP="00926B0E">
      <w:pPr>
        <w:spacing w:after="0"/>
        <w:rPr>
          <w:rFonts w:ascii="Garamond" w:hAnsi="Garamond"/>
        </w:rPr>
      </w:pPr>
      <w:bookmarkStart w:id="4" w:name="_GoBack"/>
      <w:bookmarkEnd w:id="4"/>
      <w:r>
        <w:rPr>
          <w:rFonts w:ascii="Garamond" w:hAnsi="Garamond"/>
          <w:b/>
          <w:noProof/>
          <w:color w:val="1F497D" w:themeColor="text2"/>
        </w:rPr>
        <mc:AlternateContent>
          <mc:Choice Requires="wps">
            <w:drawing>
              <wp:anchor distT="0" distB="0" distL="114300" distR="114300" simplePos="0" relativeHeight="251665408" behindDoc="0" locked="0" layoutInCell="1" allowOverlap="1" wp14:anchorId="1DD788BA" wp14:editId="70A5180A">
                <wp:simplePos x="0" y="0"/>
                <wp:positionH relativeFrom="column">
                  <wp:posOffset>1371600</wp:posOffset>
                </wp:positionH>
                <wp:positionV relativeFrom="paragraph">
                  <wp:posOffset>5671185</wp:posOffset>
                </wp:positionV>
                <wp:extent cx="3429000" cy="20574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429000" cy="2057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A73C41" w14:textId="77777777" w:rsidR="000A5A76" w:rsidRPr="00302316" w:rsidRDefault="000A5A76" w:rsidP="000A5A76">
                            <w:pPr>
                              <w:pStyle w:val="Body-Doc"/>
                              <w:spacing w:after="144"/>
                              <w:rPr>
                                <w:rFonts w:ascii="Garamond" w:hAnsi="Garamond" w:cs="TimesNewRomanPS-ItalicMT"/>
                                <w:iCs/>
                                <w:sz w:val="20"/>
                                <w:szCs w:val="20"/>
                              </w:rPr>
                            </w:pPr>
                            <w:r w:rsidRPr="00302316">
                              <w:rPr>
                                <w:rFonts w:ascii="Garamond" w:hAnsi="Garamond"/>
                                <w:sz w:val="20"/>
                                <w:szCs w:val="20"/>
                              </w:rPr>
                              <w:t>For more information, please contact:</w:t>
                            </w:r>
                          </w:p>
                          <w:p w14:paraId="5CBF8039" w14:textId="77777777" w:rsidR="000A5A76" w:rsidRPr="00302316" w:rsidRDefault="000A5A76" w:rsidP="000A5A76">
                            <w:pPr>
                              <w:pStyle w:val="CalloutQuotes"/>
                              <w:spacing w:after="180" w:line="240" w:lineRule="auto"/>
                              <w:rPr>
                                <w:rStyle w:val="FigureHeader"/>
                                <w:rFonts w:ascii="Calibri" w:hAnsi="Calibri"/>
                                <w:sz w:val="32"/>
                                <w:szCs w:val="32"/>
                              </w:rPr>
                            </w:pPr>
                            <w:r w:rsidRPr="00302316">
                              <w:rPr>
                                <w:rStyle w:val="FigureHeader"/>
                                <w:rFonts w:ascii="Calibri" w:hAnsi="Calibri"/>
                                <w:sz w:val="32"/>
                                <w:szCs w:val="32"/>
                              </w:rPr>
                              <w:t xml:space="preserve">CENTER FOR HEALTH </w:t>
                            </w:r>
                          </w:p>
                          <w:p w14:paraId="39A6F927" w14:textId="77777777" w:rsidR="000A5A76" w:rsidRPr="00302316" w:rsidRDefault="000A5A76" w:rsidP="000A5A76">
                            <w:pPr>
                              <w:pStyle w:val="CalloutQuotes"/>
                              <w:spacing w:after="180" w:line="240" w:lineRule="auto"/>
                              <w:rPr>
                                <w:rStyle w:val="FigureHeader"/>
                                <w:rFonts w:ascii="Calibri" w:hAnsi="Calibri"/>
                                <w:bCs w:val="0"/>
                                <w:sz w:val="32"/>
                                <w:szCs w:val="32"/>
                              </w:rPr>
                            </w:pPr>
                            <w:r w:rsidRPr="00302316">
                              <w:rPr>
                                <w:rStyle w:val="FigureHeader"/>
                                <w:rFonts w:ascii="Calibri" w:hAnsi="Calibri"/>
                                <w:sz w:val="32"/>
                                <w:szCs w:val="32"/>
                              </w:rPr>
                              <w:t>INFORMATION AND ANALYSIS</w:t>
                            </w:r>
                          </w:p>
                          <w:p w14:paraId="55B11CF7" w14:textId="77777777" w:rsidR="000A5A76" w:rsidRPr="00302316" w:rsidRDefault="000A5A76" w:rsidP="000A5A76">
                            <w:pPr>
                              <w:pStyle w:val="SupplementLineup"/>
                              <w:spacing w:after="0"/>
                              <w:rPr>
                                <w:rFonts w:ascii="Calibri" w:hAnsi="Calibri"/>
                                <w:sz w:val="20"/>
                                <w:szCs w:val="20"/>
                              </w:rPr>
                            </w:pPr>
                            <w:r w:rsidRPr="00302316">
                              <w:rPr>
                                <w:rFonts w:ascii="Calibri" w:hAnsi="Calibri"/>
                                <w:sz w:val="20"/>
                                <w:szCs w:val="20"/>
                              </w:rPr>
                              <w:t>Two Boylston Street</w:t>
                            </w:r>
                          </w:p>
                          <w:p w14:paraId="06B11ABB" w14:textId="77777777" w:rsidR="000A5A76" w:rsidRPr="00302316" w:rsidRDefault="000A5A76" w:rsidP="000A5A76">
                            <w:pPr>
                              <w:pStyle w:val="Acknowledgements"/>
                              <w:rPr>
                                <w:rFonts w:ascii="Calibri" w:hAnsi="Calibri"/>
                              </w:rPr>
                            </w:pPr>
                            <w:r w:rsidRPr="00302316">
                              <w:rPr>
                                <w:rFonts w:ascii="Calibri" w:hAnsi="Calibri"/>
                              </w:rPr>
                              <w:t>Boston, MA 02116</w:t>
                            </w:r>
                          </w:p>
                          <w:p w14:paraId="535B3A18" w14:textId="77777777" w:rsidR="000A5A76" w:rsidRPr="00302316" w:rsidRDefault="000A5A76" w:rsidP="000A5A76">
                            <w:pPr>
                              <w:pStyle w:val="SupplementLineup"/>
                              <w:spacing w:after="0"/>
                              <w:rPr>
                                <w:rFonts w:ascii="Calibri" w:hAnsi="Calibri"/>
                                <w:sz w:val="20"/>
                                <w:szCs w:val="20"/>
                              </w:rPr>
                            </w:pPr>
                            <w:r w:rsidRPr="00302316">
                              <w:rPr>
                                <w:rFonts w:ascii="Calibri" w:hAnsi="Calibri"/>
                                <w:sz w:val="20"/>
                                <w:szCs w:val="20"/>
                              </w:rPr>
                              <w:t>617.988.3100</w:t>
                            </w:r>
                          </w:p>
                          <w:p w14:paraId="6DD09377" w14:textId="77777777" w:rsidR="000A5A76" w:rsidRPr="00302316" w:rsidRDefault="000A5A76" w:rsidP="000A5A76">
                            <w:pPr>
                              <w:pStyle w:val="SupplementLineup"/>
                              <w:spacing w:after="0"/>
                              <w:rPr>
                                <w:rFonts w:ascii="Calibri" w:hAnsi="Calibri"/>
                                <w:sz w:val="20"/>
                                <w:szCs w:val="20"/>
                              </w:rPr>
                            </w:pPr>
                            <w:proofErr w:type="gramStart"/>
                            <w:r w:rsidRPr="00302316">
                              <w:rPr>
                                <w:rFonts w:ascii="Calibri" w:hAnsi="Calibri"/>
                                <w:sz w:val="20"/>
                                <w:szCs w:val="20"/>
                              </w:rPr>
                              <w:t>www.mass.gov</w:t>
                            </w:r>
                            <w:proofErr w:type="gramEnd"/>
                            <w:r w:rsidRPr="00302316">
                              <w:rPr>
                                <w:rFonts w:ascii="Calibri" w:hAnsi="Calibri"/>
                                <w:sz w:val="20"/>
                                <w:szCs w:val="20"/>
                              </w:rPr>
                              <w:t>/chia</w:t>
                            </w:r>
                          </w:p>
                          <w:p w14:paraId="75B639E2" w14:textId="77777777" w:rsidR="000A5A76" w:rsidRPr="00302316" w:rsidRDefault="000A5A76" w:rsidP="000A5A76">
                            <w:pPr>
                              <w:pStyle w:val="SupplementLineup"/>
                              <w:spacing w:before="126" w:after="0"/>
                              <w:rPr>
                                <w:rFonts w:ascii="Calibri" w:hAnsi="Calibri"/>
                                <w:sz w:val="20"/>
                                <w:szCs w:val="20"/>
                              </w:rPr>
                            </w:pPr>
                            <w:r w:rsidRPr="00302316">
                              <w:rPr>
                                <w:rFonts w:ascii="Calibri" w:hAnsi="Calibri"/>
                                <w:sz w:val="20"/>
                                <w:szCs w:val="20"/>
                              </w:rPr>
                              <w:t>Publication Number 14-245-CHIA-13</w:t>
                            </w:r>
                          </w:p>
                          <w:p w14:paraId="6AD78477" w14:textId="77777777" w:rsidR="000A5A76" w:rsidRDefault="000A5A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08pt;margin-top:446.55pt;width:270pt;height:1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" filled="f" stroked="f">
                <v:textbox>
                  <w:txbxContent>
                    <w:p w14:paraId="5AA73C41" w14:textId="77777777" w:rsidR="000A5A76" w:rsidRPr="00302316" w:rsidRDefault="000A5A76" w:rsidP="000A5A76">
                      <w:pPr>
                        <w:pStyle w:val="Body-Doc"/>
                        <w:spacing w:after="144"/>
                        <w:rPr>
                          <w:rFonts w:ascii="Garamond" w:hAnsi="Garamond" w:cs="TimesNewRomanPS-ItalicMT"/>
                          <w:iCs/>
                          <w:sz w:val="20"/>
                          <w:szCs w:val="20"/>
                        </w:rPr>
                      </w:pPr>
                      <w:r w:rsidRPr="00302316">
                        <w:rPr>
                          <w:rFonts w:ascii="Garamond" w:hAnsi="Garamond"/>
                          <w:sz w:val="20"/>
                          <w:szCs w:val="20"/>
                        </w:rPr>
                        <w:t>For more information, please contact:</w:t>
                      </w:r>
                    </w:p>
                    <w:p w14:paraId="5CBF8039" w14:textId="77777777" w:rsidR="000A5A76" w:rsidRPr="00302316" w:rsidRDefault="000A5A76" w:rsidP="000A5A76">
                      <w:pPr>
                        <w:pStyle w:val="CalloutQuotes"/>
                        <w:spacing w:after="180" w:line="240" w:lineRule="auto"/>
                        <w:rPr>
                          <w:rStyle w:val="FigureHeader"/>
                          <w:rFonts w:ascii="Calibri" w:hAnsi="Calibri"/>
                          <w:sz w:val="32"/>
                          <w:szCs w:val="32"/>
                        </w:rPr>
                      </w:pPr>
                      <w:r w:rsidRPr="00302316">
                        <w:rPr>
                          <w:rStyle w:val="FigureHeader"/>
                          <w:rFonts w:ascii="Calibri" w:hAnsi="Calibri"/>
                          <w:sz w:val="32"/>
                          <w:szCs w:val="32"/>
                        </w:rPr>
                        <w:t xml:space="preserve">CENTER FOR HEALTH </w:t>
                      </w:r>
                    </w:p>
                    <w:p w14:paraId="39A6F927" w14:textId="77777777" w:rsidR="000A5A76" w:rsidRPr="00302316" w:rsidRDefault="000A5A76" w:rsidP="000A5A76">
                      <w:pPr>
                        <w:pStyle w:val="CalloutQuotes"/>
                        <w:spacing w:after="180" w:line="240" w:lineRule="auto"/>
                        <w:rPr>
                          <w:rStyle w:val="FigureHeader"/>
                          <w:rFonts w:ascii="Calibri" w:hAnsi="Calibri"/>
                          <w:bCs w:val="0"/>
                          <w:sz w:val="32"/>
                          <w:szCs w:val="32"/>
                        </w:rPr>
                      </w:pPr>
                      <w:r w:rsidRPr="00302316">
                        <w:rPr>
                          <w:rStyle w:val="FigureHeader"/>
                          <w:rFonts w:ascii="Calibri" w:hAnsi="Calibri"/>
                          <w:sz w:val="32"/>
                          <w:szCs w:val="32"/>
                        </w:rPr>
                        <w:t>INFORMATION AND ANALYSIS</w:t>
                      </w:r>
                    </w:p>
                    <w:p w14:paraId="55B11CF7" w14:textId="77777777" w:rsidR="000A5A76" w:rsidRPr="00302316" w:rsidRDefault="000A5A76" w:rsidP="000A5A76">
                      <w:pPr>
                        <w:pStyle w:val="SupplementLineup"/>
                        <w:spacing w:after="0"/>
                        <w:rPr>
                          <w:rFonts w:ascii="Calibri" w:hAnsi="Calibri"/>
                          <w:sz w:val="20"/>
                          <w:szCs w:val="20"/>
                        </w:rPr>
                      </w:pPr>
                      <w:r w:rsidRPr="00302316">
                        <w:rPr>
                          <w:rFonts w:ascii="Calibri" w:hAnsi="Calibri"/>
                          <w:sz w:val="20"/>
                          <w:szCs w:val="20"/>
                        </w:rPr>
                        <w:t>Two Boylston Street</w:t>
                      </w:r>
                    </w:p>
                    <w:p w14:paraId="06B11ABB" w14:textId="77777777" w:rsidR="000A5A76" w:rsidRPr="00302316" w:rsidRDefault="000A5A76" w:rsidP="000A5A76">
                      <w:pPr>
                        <w:pStyle w:val="Acknowledgements"/>
                        <w:rPr>
                          <w:rFonts w:ascii="Calibri" w:hAnsi="Calibri"/>
                        </w:rPr>
                      </w:pPr>
                      <w:r w:rsidRPr="00302316">
                        <w:rPr>
                          <w:rFonts w:ascii="Calibri" w:hAnsi="Calibri"/>
                        </w:rPr>
                        <w:t>Boston, MA 02116</w:t>
                      </w:r>
                    </w:p>
                    <w:p w14:paraId="535B3A18" w14:textId="77777777" w:rsidR="000A5A76" w:rsidRPr="00302316" w:rsidRDefault="000A5A76" w:rsidP="000A5A76">
                      <w:pPr>
                        <w:pStyle w:val="SupplementLineup"/>
                        <w:spacing w:after="0"/>
                        <w:rPr>
                          <w:rFonts w:ascii="Calibri" w:hAnsi="Calibri"/>
                          <w:sz w:val="20"/>
                          <w:szCs w:val="20"/>
                        </w:rPr>
                      </w:pPr>
                      <w:r w:rsidRPr="00302316">
                        <w:rPr>
                          <w:rFonts w:ascii="Calibri" w:hAnsi="Calibri"/>
                          <w:sz w:val="20"/>
                          <w:szCs w:val="20"/>
                        </w:rPr>
                        <w:t>617.988.3100</w:t>
                      </w:r>
                    </w:p>
                    <w:p w14:paraId="6DD09377" w14:textId="77777777" w:rsidR="000A5A76" w:rsidRPr="00302316" w:rsidRDefault="000A5A76" w:rsidP="000A5A76">
                      <w:pPr>
                        <w:pStyle w:val="SupplementLineup"/>
                        <w:spacing w:after="0"/>
                        <w:rPr>
                          <w:rFonts w:ascii="Calibri" w:hAnsi="Calibri"/>
                          <w:sz w:val="20"/>
                          <w:szCs w:val="20"/>
                        </w:rPr>
                      </w:pPr>
                      <w:proofErr w:type="gramStart"/>
                      <w:r w:rsidRPr="00302316">
                        <w:rPr>
                          <w:rFonts w:ascii="Calibri" w:hAnsi="Calibri"/>
                          <w:sz w:val="20"/>
                          <w:szCs w:val="20"/>
                        </w:rPr>
                        <w:t>www.mass.gov</w:t>
                      </w:r>
                      <w:proofErr w:type="gramEnd"/>
                      <w:r w:rsidRPr="00302316">
                        <w:rPr>
                          <w:rFonts w:ascii="Calibri" w:hAnsi="Calibri"/>
                          <w:sz w:val="20"/>
                          <w:szCs w:val="20"/>
                        </w:rPr>
                        <w:t>/chia</w:t>
                      </w:r>
                    </w:p>
                    <w:p w14:paraId="75B639E2" w14:textId="77777777" w:rsidR="000A5A76" w:rsidRPr="00302316" w:rsidRDefault="000A5A76" w:rsidP="000A5A76">
                      <w:pPr>
                        <w:pStyle w:val="SupplementLineup"/>
                        <w:spacing w:before="126" w:after="0"/>
                        <w:rPr>
                          <w:rFonts w:ascii="Calibri" w:hAnsi="Calibri"/>
                          <w:sz w:val="20"/>
                          <w:szCs w:val="20"/>
                        </w:rPr>
                      </w:pPr>
                      <w:r w:rsidRPr="00302316">
                        <w:rPr>
                          <w:rFonts w:ascii="Calibri" w:hAnsi="Calibri"/>
                          <w:sz w:val="20"/>
                          <w:szCs w:val="20"/>
                        </w:rPr>
                        <w:t>Publication Number 14-245-CHIA-13</w:t>
                      </w:r>
                    </w:p>
                    <w:p w14:paraId="6AD78477" w14:textId="77777777" w:rsidR="000A5A76" w:rsidRDefault="000A5A76"/>
                  </w:txbxContent>
                </v:textbox>
                <w10:wrap type="square"/>
              </v:shape>
            </w:pict>
          </mc:Fallback>
        </mc:AlternateContent>
      </w:r>
      <w:r>
        <w:rPr>
          <w:rFonts w:ascii="Garamond" w:hAnsi="Garamond"/>
          <w:b/>
          <w:noProof/>
          <w:color w:val="1F497D" w:themeColor="text2"/>
        </w:rPr>
        <w:drawing>
          <wp:anchor distT="0" distB="0" distL="114300" distR="114300" simplePos="0" relativeHeight="251664384" behindDoc="0" locked="0" layoutInCell="1" allowOverlap="1" wp14:anchorId="08983AFC" wp14:editId="531B990E">
            <wp:simplePos x="0" y="0"/>
            <wp:positionH relativeFrom="column">
              <wp:posOffset>0</wp:posOffset>
            </wp:positionH>
            <wp:positionV relativeFrom="paragraph">
              <wp:posOffset>5785485</wp:posOffset>
            </wp:positionV>
            <wp:extent cx="1267460" cy="1828800"/>
            <wp:effectExtent l="0" t="0" r="254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A_logo_CS6_flat.psd"/>
                    <pic:cNvPicPr/>
                  </pic:nvPicPr>
                  <pic:blipFill>
                    <a:blip r:embed="rId9">
                      <a:extLst>
                        <a:ext uri="{28A0092B-C50C-407E-A947-70E740481C1C}">
                          <a14:useLocalDpi xmlns:a14="http://schemas.microsoft.com/office/drawing/2010/main" val="0"/>
                        </a:ext>
                      </a:extLst>
                    </a:blip>
                    <a:stretch>
                      <a:fillRect/>
                    </a:stretch>
                  </pic:blipFill>
                  <pic:spPr>
                    <a:xfrm>
                      <a:off x="0" y="0"/>
                      <a:ext cx="1267460" cy="1828800"/>
                    </a:xfrm>
                    <a:prstGeom prst="rect">
                      <a:avLst/>
                    </a:prstGeom>
                  </pic:spPr>
                </pic:pic>
              </a:graphicData>
            </a:graphic>
          </wp:anchor>
        </w:drawing>
      </w:r>
    </w:p>
    <w:sectPr w:rsidR="006F46D3" w:rsidRPr="00D73639" w:rsidSect="00060557">
      <w:footerReference w:type="default" r:id="rId10"/>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0FE55B" w14:textId="77777777" w:rsidR="00562B6E" w:rsidRDefault="00562B6E" w:rsidP="00AD262A">
      <w:pPr>
        <w:spacing w:after="0" w:line="240" w:lineRule="auto"/>
      </w:pPr>
      <w:r>
        <w:separator/>
      </w:r>
    </w:p>
  </w:endnote>
  <w:endnote w:type="continuationSeparator" w:id="0">
    <w:p w14:paraId="5774DCBD" w14:textId="77777777" w:rsidR="00562B6E" w:rsidRDefault="00562B6E" w:rsidP="00AD2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HelveticaNeueLTPro-LtCn">
    <w:altName w:val="HelveticaNeueLT Pro 47 LtCn"/>
    <w:panose1 w:val="00000000000000000000"/>
    <w:charset w:val="4D"/>
    <w:family w:val="auto"/>
    <w:notTrueType/>
    <w:pitch w:val="default"/>
    <w:sig w:usb0="00000003" w:usb1="00000000" w:usb2="00000000" w:usb3="00000000" w:csb0="00000001" w:csb1="00000000"/>
  </w:font>
  <w:font w:name="HelveticaNeue-CondensedBold">
    <w:altName w:val="Helvetica Neue Bold Condensed"/>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HelveticaNeue">
    <w:altName w:val="Helvetica Neue"/>
    <w:panose1 w:val="00000000000000000000"/>
    <w:charset w:val="4D"/>
    <w:family w:val="auto"/>
    <w:notTrueType/>
    <w:pitch w:val="default"/>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Helvetica Neue Bold Condensed">
    <w:panose1 w:val="02000806000000020004"/>
    <w:charset w:val="00"/>
    <w:family w:val="auto"/>
    <w:pitch w:val="variable"/>
    <w:sig w:usb0="A00002FF" w:usb1="5000205A" w:usb2="00000000" w:usb3="00000000" w:csb0="00000001" w:csb1="00000000"/>
  </w:font>
  <w:font w:name="TimesNewRomanPS-ItalicMT">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1825514"/>
      <w:docPartObj>
        <w:docPartGallery w:val="Page Numbers (Bottom of Page)"/>
        <w:docPartUnique/>
      </w:docPartObj>
    </w:sdtPr>
    <w:sdtEndPr>
      <w:rPr>
        <w:noProof/>
      </w:rPr>
    </w:sdtEndPr>
    <w:sdtContent>
      <w:p w14:paraId="2AD81787" w14:textId="77777777" w:rsidR="00562B6E" w:rsidRDefault="00562B6E">
        <w:pPr>
          <w:pStyle w:val="Footer"/>
          <w:jc w:val="center"/>
        </w:pPr>
        <w:r>
          <w:fldChar w:fldCharType="begin"/>
        </w:r>
        <w:r>
          <w:instrText xml:space="preserve"> PAGE   \* MERGEFORMAT </w:instrText>
        </w:r>
        <w:r>
          <w:fldChar w:fldCharType="separate"/>
        </w:r>
        <w:r w:rsidR="00302316">
          <w:rPr>
            <w:noProof/>
          </w:rPr>
          <w:t>14</w:t>
        </w:r>
        <w:r>
          <w:rPr>
            <w:noProof/>
          </w:rPr>
          <w:fldChar w:fldCharType="end"/>
        </w:r>
      </w:p>
    </w:sdtContent>
  </w:sdt>
  <w:p w14:paraId="3F0B5AD4" w14:textId="77777777" w:rsidR="00562B6E" w:rsidRDefault="00562B6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CBA12D" w14:textId="77777777" w:rsidR="00562B6E" w:rsidRDefault="00562B6E" w:rsidP="00AD262A">
      <w:pPr>
        <w:spacing w:after="0" w:line="240" w:lineRule="auto"/>
      </w:pPr>
      <w:r>
        <w:separator/>
      </w:r>
    </w:p>
  </w:footnote>
  <w:footnote w:type="continuationSeparator" w:id="0">
    <w:p w14:paraId="7280A41B" w14:textId="77777777" w:rsidR="00562B6E" w:rsidRDefault="00562B6E" w:rsidP="00AD262A">
      <w:pPr>
        <w:spacing w:after="0" w:line="240" w:lineRule="auto"/>
      </w:pPr>
      <w:r>
        <w:continuationSeparator/>
      </w:r>
    </w:p>
  </w:footnote>
  <w:footnote w:id="1">
    <w:p w14:paraId="3150F20A" w14:textId="77777777" w:rsidR="00562B6E" w:rsidRPr="004D5235" w:rsidRDefault="00562B6E" w:rsidP="00824AD9">
      <w:pPr>
        <w:pStyle w:val="FootnoteText"/>
        <w:rPr>
          <w:rFonts w:ascii="Garamond" w:hAnsi="Garamond"/>
          <w:sz w:val="16"/>
          <w:szCs w:val="16"/>
        </w:rPr>
      </w:pPr>
      <w:r w:rsidRPr="004D5235">
        <w:rPr>
          <w:rStyle w:val="FootnoteReference"/>
          <w:rFonts w:ascii="Garamond" w:hAnsi="Garamond"/>
          <w:sz w:val="16"/>
          <w:szCs w:val="16"/>
        </w:rPr>
        <w:footnoteRef/>
      </w:r>
      <w:r w:rsidRPr="004D5235">
        <w:rPr>
          <w:rFonts w:ascii="Garamond" w:hAnsi="Garamond"/>
          <w:sz w:val="16"/>
          <w:szCs w:val="16"/>
        </w:rPr>
        <w:t xml:space="preserve"> Defined in M.G.L. c. 12C, Section 1.</w:t>
      </w:r>
    </w:p>
  </w:footnote>
  <w:footnote w:id="2">
    <w:p w14:paraId="09622D86" w14:textId="77777777" w:rsidR="00562B6E" w:rsidRPr="004D5235" w:rsidRDefault="00562B6E" w:rsidP="0005122D">
      <w:pPr>
        <w:pStyle w:val="FootnoteText"/>
        <w:spacing w:line="276" w:lineRule="auto"/>
        <w:rPr>
          <w:rFonts w:ascii="Garamond" w:hAnsi="Garamond"/>
          <w:sz w:val="16"/>
          <w:szCs w:val="16"/>
        </w:rPr>
      </w:pPr>
      <w:r w:rsidRPr="004D5235">
        <w:rPr>
          <w:rStyle w:val="FootnoteReference"/>
          <w:rFonts w:ascii="Garamond" w:hAnsi="Garamond"/>
          <w:sz w:val="16"/>
          <w:szCs w:val="16"/>
        </w:rPr>
        <w:footnoteRef/>
      </w:r>
      <w:r w:rsidRPr="004D5235">
        <w:rPr>
          <w:rFonts w:ascii="Garamond" w:hAnsi="Garamond"/>
          <w:sz w:val="16"/>
          <w:szCs w:val="16"/>
        </w:rPr>
        <w:t xml:space="preserve"> Please see </w:t>
      </w:r>
      <w:r>
        <w:rPr>
          <w:rFonts w:ascii="Garamond" w:hAnsi="Garamond"/>
          <w:sz w:val="16"/>
          <w:szCs w:val="16"/>
        </w:rPr>
        <w:t>CHIA</w:t>
      </w:r>
      <w:r w:rsidRPr="004D5235">
        <w:rPr>
          <w:rFonts w:ascii="Garamond" w:hAnsi="Garamond"/>
          <w:sz w:val="16"/>
          <w:szCs w:val="16"/>
        </w:rPr>
        <w:t>’s regulation 957 CMR 2.00 for the submission requirements of TME data.</w:t>
      </w:r>
    </w:p>
  </w:footnote>
  <w:footnote w:id="3">
    <w:p w14:paraId="16791086" w14:textId="77777777" w:rsidR="00562B6E" w:rsidRPr="004D5235" w:rsidRDefault="00562B6E" w:rsidP="0005122D">
      <w:pPr>
        <w:pStyle w:val="FootnoteText"/>
        <w:spacing w:line="276" w:lineRule="auto"/>
        <w:rPr>
          <w:rFonts w:ascii="Garamond" w:hAnsi="Garamond"/>
          <w:sz w:val="16"/>
          <w:szCs w:val="16"/>
        </w:rPr>
      </w:pPr>
      <w:r w:rsidRPr="004D5235">
        <w:rPr>
          <w:rStyle w:val="FootnoteReference"/>
          <w:rFonts w:ascii="Garamond" w:hAnsi="Garamond"/>
          <w:sz w:val="16"/>
          <w:szCs w:val="16"/>
        </w:rPr>
        <w:footnoteRef/>
      </w:r>
      <w:r w:rsidRPr="004D5235">
        <w:rPr>
          <w:rFonts w:ascii="Garamond" w:hAnsi="Garamond"/>
          <w:sz w:val="16"/>
          <w:szCs w:val="16"/>
        </w:rPr>
        <w:t xml:space="preserve"> As defined in 957 CMR 2.00, service categories of TME data include: hospital inpatient, hospital outpatient, professional physician, professional other, pharmacy, other, and non-claim payments.</w:t>
      </w:r>
    </w:p>
  </w:footnote>
  <w:footnote w:id="4">
    <w:p w14:paraId="3D7BA9EA" w14:textId="77777777" w:rsidR="00562B6E" w:rsidRPr="004D5235" w:rsidRDefault="00562B6E" w:rsidP="0005122D">
      <w:pPr>
        <w:pStyle w:val="FootnoteText"/>
        <w:spacing w:line="276" w:lineRule="auto"/>
        <w:rPr>
          <w:rFonts w:ascii="Garamond" w:hAnsi="Garamond"/>
          <w:sz w:val="16"/>
          <w:szCs w:val="16"/>
        </w:rPr>
      </w:pPr>
      <w:r w:rsidRPr="004D5235">
        <w:rPr>
          <w:rStyle w:val="FootnoteReference"/>
          <w:rFonts w:ascii="Garamond" w:hAnsi="Garamond"/>
          <w:sz w:val="16"/>
          <w:szCs w:val="16"/>
        </w:rPr>
        <w:footnoteRef/>
      </w:r>
      <w:r w:rsidRPr="004D5235">
        <w:rPr>
          <w:rFonts w:ascii="Garamond" w:hAnsi="Garamond"/>
          <w:sz w:val="16"/>
          <w:szCs w:val="16"/>
        </w:rPr>
        <w:t xml:space="preserve"> Spending Information from Veterans Affairs is available at </w:t>
      </w:r>
      <w:hyperlink r:id="rId1" w:history="1">
        <w:r w:rsidRPr="004D5235">
          <w:rPr>
            <w:rStyle w:val="Hyperlink"/>
            <w:rFonts w:ascii="Garamond" w:hAnsi="Garamond"/>
            <w:sz w:val="16"/>
            <w:szCs w:val="16"/>
          </w:rPr>
          <w:t>http://www.va.gov/vetdata/Expenditures.asp</w:t>
        </w:r>
      </w:hyperlink>
      <w:r w:rsidRPr="004D5235">
        <w:rPr>
          <w:rFonts w:ascii="Garamond" w:hAnsi="Garamond"/>
          <w:sz w:val="16"/>
          <w:szCs w:val="16"/>
        </w:rPr>
        <w:t xml:space="preserve"> </w:t>
      </w:r>
      <w:r>
        <w:rPr>
          <w:rFonts w:ascii="Garamond" w:hAnsi="Garamond"/>
          <w:sz w:val="16"/>
          <w:szCs w:val="16"/>
        </w:rPr>
        <w:t>(Accessed August 29, 2014).</w:t>
      </w:r>
    </w:p>
  </w:footnote>
  <w:footnote w:id="5">
    <w:p w14:paraId="4C32498D" w14:textId="77777777" w:rsidR="00562B6E" w:rsidRPr="00EC292C" w:rsidRDefault="00562B6E">
      <w:pPr>
        <w:pStyle w:val="FootnoteText"/>
        <w:rPr>
          <w:rFonts w:ascii="Times New Roman" w:hAnsi="Times New Roman"/>
        </w:rPr>
      </w:pPr>
      <w:r w:rsidRPr="00EC292C">
        <w:rPr>
          <w:rStyle w:val="FootnoteReference"/>
          <w:rFonts w:ascii="Times New Roman" w:hAnsi="Times New Roman"/>
          <w:sz w:val="22"/>
        </w:rPr>
        <w:footnoteRef/>
      </w:r>
      <w:r w:rsidRPr="00EC292C">
        <w:rPr>
          <w:rFonts w:ascii="Times New Roman" w:hAnsi="Times New Roman"/>
          <w:sz w:val="22"/>
        </w:rPr>
        <w:t xml:space="preserve"> </w:t>
      </w:r>
      <w:r w:rsidRPr="00EC292C">
        <w:rPr>
          <w:rFonts w:ascii="Times New Roman" w:hAnsi="Times New Roman"/>
          <w:color w:val="000000"/>
          <w:sz w:val="14"/>
          <w:szCs w:val="12"/>
        </w:rPr>
        <w:t>Individuals and the Small Group form the “Merged Market” in Massachusetts, in which small group insurance laws apply to all small business and individual plans issued by an insurance carrier.</w:t>
      </w:r>
    </w:p>
  </w:footnote>
  <w:footnote w:id="6">
    <w:p w14:paraId="403C945E" w14:textId="77777777" w:rsidR="00562B6E" w:rsidRPr="004D5235" w:rsidRDefault="00562B6E" w:rsidP="0005122D">
      <w:pPr>
        <w:pStyle w:val="FootnoteText"/>
        <w:spacing w:line="276" w:lineRule="auto"/>
        <w:rPr>
          <w:rFonts w:ascii="Garamond" w:hAnsi="Garamond"/>
          <w:sz w:val="16"/>
          <w:szCs w:val="16"/>
        </w:rPr>
      </w:pPr>
      <w:r w:rsidRPr="004D5235">
        <w:rPr>
          <w:rStyle w:val="FootnoteReference"/>
          <w:rFonts w:ascii="Garamond" w:hAnsi="Garamond"/>
          <w:sz w:val="16"/>
          <w:szCs w:val="16"/>
        </w:rPr>
        <w:footnoteRef/>
      </w:r>
      <w:r w:rsidRPr="004D5235">
        <w:rPr>
          <w:rFonts w:ascii="Garamond" w:hAnsi="Garamond"/>
          <w:sz w:val="16"/>
          <w:szCs w:val="16"/>
        </w:rPr>
        <w:t xml:space="preserve"> </w:t>
      </w:r>
      <w:proofErr w:type="gramStart"/>
      <w:r>
        <w:rPr>
          <w:rFonts w:ascii="Garamond" w:hAnsi="Garamond"/>
          <w:sz w:val="16"/>
          <w:szCs w:val="16"/>
        </w:rPr>
        <w:t>Center</w:t>
      </w:r>
      <w:r w:rsidRPr="004D5235">
        <w:rPr>
          <w:rFonts w:ascii="Garamond" w:hAnsi="Garamond"/>
          <w:sz w:val="16"/>
          <w:szCs w:val="16"/>
        </w:rPr>
        <w:t xml:space="preserve"> for Health Information and Analysis (December 2013).</w:t>
      </w:r>
      <w:proofErr w:type="gramEnd"/>
      <w:r w:rsidRPr="004D5235">
        <w:rPr>
          <w:rFonts w:ascii="Garamond" w:hAnsi="Garamond"/>
          <w:sz w:val="16"/>
          <w:szCs w:val="16"/>
        </w:rPr>
        <w:t xml:space="preserve"> </w:t>
      </w:r>
      <w:proofErr w:type="gramStart"/>
      <w:r w:rsidRPr="004D5235">
        <w:rPr>
          <w:rFonts w:ascii="Garamond" w:hAnsi="Garamond"/>
          <w:i/>
          <w:sz w:val="16"/>
          <w:szCs w:val="16"/>
        </w:rPr>
        <w:t>Massachusetts Total Health Care Expenditure Methodology.</w:t>
      </w:r>
      <w:proofErr w:type="gramEnd"/>
      <w:r w:rsidRPr="004D5235">
        <w:rPr>
          <w:rFonts w:ascii="Garamond" w:hAnsi="Garamond"/>
          <w:i/>
          <w:sz w:val="16"/>
          <w:szCs w:val="16"/>
        </w:rPr>
        <w:t xml:space="preserve"> </w:t>
      </w:r>
      <w:r w:rsidRPr="004D5235">
        <w:rPr>
          <w:rFonts w:ascii="Garamond" w:hAnsi="Garamond"/>
          <w:sz w:val="16"/>
          <w:szCs w:val="16"/>
        </w:rPr>
        <w:t xml:space="preserve">Available </w:t>
      </w:r>
      <w:r>
        <w:rPr>
          <w:rFonts w:ascii="Garamond" w:hAnsi="Garamond"/>
          <w:sz w:val="16"/>
          <w:szCs w:val="16"/>
        </w:rPr>
        <w:t>at</w:t>
      </w:r>
      <w:r w:rsidRPr="004D5235">
        <w:rPr>
          <w:rFonts w:ascii="Garamond" w:hAnsi="Garamond"/>
          <w:sz w:val="16"/>
          <w:szCs w:val="16"/>
        </w:rPr>
        <w:t xml:space="preserve">: </w:t>
      </w:r>
      <w:hyperlink r:id="rId2" w:history="1">
        <w:r w:rsidRPr="004D5235">
          <w:rPr>
            <w:rStyle w:val="Hyperlink"/>
            <w:rFonts w:ascii="Garamond" w:hAnsi="Garamond"/>
            <w:sz w:val="16"/>
            <w:szCs w:val="16"/>
          </w:rPr>
          <w:t>http://www.mass.gov/chia/docs/r/pubs/13/thce-methodology.pdf</w:t>
        </w:r>
      </w:hyperlink>
      <w:r>
        <w:rPr>
          <w:rStyle w:val="Hyperlink"/>
          <w:rFonts w:ascii="Garamond" w:hAnsi="Garamond"/>
          <w:sz w:val="16"/>
          <w:szCs w:val="16"/>
        </w:rPr>
        <w:t xml:space="preserve"> (Accessed August 29, 2014)</w:t>
      </w:r>
      <w:r w:rsidRPr="004D5235">
        <w:rPr>
          <w:rFonts w:ascii="Garamond" w:hAnsi="Garamond"/>
          <w:sz w:val="16"/>
          <w:szCs w:val="16"/>
        </w:rPr>
        <w:t>.</w:t>
      </w:r>
    </w:p>
    <w:p w14:paraId="6F14B46F" w14:textId="77777777" w:rsidR="00562B6E" w:rsidRPr="004D5235" w:rsidRDefault="00562B6E" w:rsidP="00AB7929">
      <w:pPr>
        <w:pStyle w:val="FootnoteText"/>
        <w:rPr>
          <w:rFonts w:ascii="Garamond" w:hAnsi="Garamond"/>
        </w:rPr>
      </w:pPr>
    </w:p>
  </w:footnote>
  <w:footnote w:id="7">
    <w:p w14:paraId="085B01CF" w14:textId="77777777" w:rsidR="00562B6E" w:rsidRPr="006B27B5" w:rsidRDefault="00562B6E" w:rsidP="00D73639">
      <w:pPr>
        <w:pStyle w:val="FootnoteText"/>
        <w:rPr>
          <w:rFonts w:ascii="Garamond" w:hAnsi="Garamond"/>
        </w:rPr>
      </w:pPr>
      <w:r w:rsidRPr="006B27B5">
        <w:rPr>
          <w:rStyle w:val="FootnoteReference"/>
          <w:rFonts w:ascii="Garamond" w:hAnsi="Garamond"/>
        </w:rPr>
        <w:footnoteRef/>
      </w:r>
      <w:r w:rsidRPr="006B27B5">
        <w:rPr>
          <w:rFonts w:ascii="Garamond" w:hAnsi="Garamond"/>
        </w:rPr>
        <w:t xml:space="preserve"> The Affordable Care Act requires health insurance companies to report the percentage of premium revenue that they spend on medical claims—their MLRs—to CCIIO, which publishes the data on its </w:t>
      </w:r>
      <w:hyperlink r:id="rId3" w:history="1">
        <w:r w:rsidRPr="006B27B5">
          <w:rPr>
            <w:rStyle w:val="Hyperlink"/>
            <w:rFonts w:ascii="Garamond" w:hAnsi="Garamond"/>
          </w:rPr>
          <w:t>website</w:t>
        </w:r>
      </w:hyperlink>
      <w:r>
        <w:rPr>
          <w:rStyle w:val="Hyperlink"/>
          <w:rFonts w:ascii="Garamond" w:hAnsi="Garamond"/>
        </w:rPr>
        <w:t xml:space="preserve">, available at: </w:t>
      </w:r>
      <w:hyperlink r:id="rId4" w:history="1">
        <w:r w:rsidRPr="003B33BA">
          <w:rPr>
            <w:rStyle w:val="Hyperlink"/>
            <w:rFonts w:ascii="Garamond" w:hAnsi="Garamond"/>
          </w:rPr>
          <w:t>http://www.cms.gov/CCIIO/Resources/Data-Resources/mlr.html</w:t>
        </w:r>
      </w:hyperlink>
      <w:r>
        <w:rPr>
          <w:rStyle w:val="Hyperlink"/>
          <w:rFonts w:ascii="Garamond" w:hAnsi="Garamond"/>
        </w:rPr>
        <w:t xml:space="preserve"> (Accessed August 29, 2014)</w:t>
      </w:r>
      <w:r w:rsidRPr="006B27B5">
        <w:rPr>
          <w:rFonts w:ascii="Garamond" w:hAnsi="Garamond"/>
        </w:rPr>
        <w:t>.</w:t>
      </w:r>
    </w:p>
  </w:footnote>
  <w:footnote w:id="8">
    <w:p w14:paraId="266122DD" w14:textId="77777777" w:rsidR="00562B6E" w:rsidRPr="003866FC" w:rsidRDefault="00562B6E" w:rsidP="00D73639">
      <w:pPr>
        <w:pStyle w:val="FootnoteText"/>
        <w:rPr>
          <w:rFonts w:ascii="Garamond" w:hAnsi="Garamond"/>
        </w:rPr>
      </w:pPr>
      <w:r w:rsidRPr="003866FC">
        <w:rPr>
          <w:rStyle w:val="FootnoteReference"/>
          <w:rFonts w:ascii="Garamond" w:hAnsi="Garamond"/>
        </w:rPr>
        <w:footnoteRef/>
      </w:r>
      <w:r w:rsidRPr="003866FC">
        <w:rPr>
          <w:rFonts w:ascii="Garamond" w:hAnsi="Garamond"/>
        </w:rPr>
        <w:t xml:space="preserve"> The analysis in this report relies on premium, claims, and membership data submitted by major </w:t>
      </w:r>
      <w:proofErr w:type="gramStart"/>
      <w:r w:rsidRPr="003866FC">
        <w:rPr>
          <w:rFonts w:ascii="Garamond" w:hAnsi="Garamond"/>
        </w:rPr>
        <w:t>Massachusetts</w:t>
      </w:r>
      <w:proofErr w:type="gramEnd"/>
      <w:r w:rsidRPr="003866FC">
        <w:rPr>
          <w:rFonts w:ascii="Garamond" w:hAnsi="Garamond"/>
        </w:rPr>
        <w:t xml:space="preserve"> </w:t>
      </w:r>
      <w:r>
        <w:rPr>
          <w:rFonts w:ascii="Garamond" w:hAnsi="Garamond"/>
        </w:rPr>
        <w:t>payers</w:t>
      </w:r>
      <w:r w:rsidRPr="003866FC">
        <w:rPr>
          <w:rFonts w:ascii="Garamond" w:hAnsi="Garamond"/>
        </w:rPr>
        <w:t>. These data were reviewed for reasonableness, but they were not</w:t>
      </w:r>
      <w:r>
        <w:rPr>
          <w:rFonts w:ascii="Garamond" w:hAnsi="Garamond"/>
        </w:rPr>
        <w:t xml:space="preserve"> audited. When reported data were</w:t>
      </w:r>
      <w:r w:rsidRPr="003866FC">
        <w:rPr>
          <w:rFonts w:ascii="Garamond" w:hAnsi="Garamond"/>
        </w:rPr>
        <w:t xml:space="preserve"> not consistent, revised data was requested and provided by the </w:t>
      </w:r>
      <w:r>
        <w:rPr>
          <w:rFonts w:ascii="Garamond" w:hAnsi="Garamond"/>
        </w:rPr>
        <w:t>payers</w:t>
      </w:r>
      <w:r w:rsidRPr="003866FC">
        <w:rPr>
          <w:rFonts w:ascii="Garamond" w:hAnsi="Garamond"/>
        </w:rPr>
        <w:t xml:space="preserve">. </w:t>
      </w:r>
      <w:r>
        <w:rPr>
          <w:rFonts w:ascii="Garamond" w:hAnsi="Garamond"/>
        </w:rPr>
        <w:t>To the extent final data were</w:t>
      </w:r>
      <w:r w:rsidRPr="003866FC">
        <w:rPr>
          <w:rFonts w:ascii="Garamond" w:hAnsi="Garamond"/>
        </w:rPr>
        <w:t xml:space="preserve"> </w:t>
      </w:r>
      <w:r>
        <w:rPr>
          <w:rFonts w:ascii="Garamond" w:hAnsi="Garamond"/>
        </w:rPr>
        <w:t xml:space="preserve">unknowingly </w:t>
      </w:r>
      <w:r w:rsidRPr="003866FC">
        <w:rPr>
          <w:rFonts w:ascii="Garamond" w:hAnsi="Garamond"/>
        </w:rPr>
        <w:t xml:space="preserve">incomplete or inaccurate, findings </w:t>
      </w:r>
      <w:r>
        <w:rPr>
          <w:rFonts w:ascii="Garamond" w:hAnsi="Garamond"/>
        </w:rPr>
        <w:t xml:space="preserve">may be </w:t>
      </w:r>
      <w:r w:rsidRPr="003866FC">
        <w:rPr>
          <w:rFonts w:ascii="Garamond" w:hAnsi="Garamond"/>
        </w:rPr>
        <w:t xml:space="preserve">compromised. </w:t>
      </w:r>
    </w:p>
  </w:footnote>
  <w:footnote w:id="9">
    <w:p w14:paraId="778348C1" w14:textId="77777777" w:rsidR="00562B6E" w:rsidRPr="004D5235" w:rsidRDefault="00562B6E" w:rsidP="00D073D7">
      <w:pPr>
        <w:pStyle w:val="FootnoteText"/>
        <w:rPr>
          <w:rFonts w:ascii="Garamond" w:hAnsi="Garamond"/>
        </w:rPr>
      </w:pPr>
      <w:r w:rsidRPr="004D5235">
        <w:rPr>
          <w:rStyle w:val="FootnoteReference"/>
          <w:rFonts w:ascii="Garamond" w:hAnsi="Garamond"/>
        </w:rPr>
        <w:footnoteRef/>
      </w:r>
      <w:r w:rsidRPr="004D5235">
        <w:rPr>
          <w:rFonts w:ascii="Garamond" w:hAnsi="Garamond"/>
        </w:rPr>
        <w:t xml:space="preserve"> </w:t>
      </w:r>
      <w:r w:rsidRPr="004D5235">
        <w:rPr>
          <w:rFonts w:ascii="Garamond" w:hAnsi="Garamond"/>
          <w:sz w:val="18"/>
        </w:rPr>
        <w:t>As defined in 957 CMR 2.00, pediatric physician practice is a physician group practice in which at least 75% of its patients are children up to the age of 18.</w:t>
      </w:r>
    </w:p>
  </w:footnote>
  <w:footnote w:id="10">
    <w:p w14:paraId="028B1777" w14:textId="77777777" w:rsidR="00562B6E" w:rsidRPr="00BD3E5D" w:rsidRDefault="00562B6E" w:rsidP="00D73639">
      <w:pPr>
        <w:pStyle w:val="FootnoteText"/>
        <w:rPr>
          <w:rFonts w:ascii="Garamond" w:hAnsi="Garamond"/>
        </w:rPr>
      </w:pPr>
      <w:r w:rsidRPr="00BD3E5D">
        <w:rPr>
          <w:rStyle w:val="FootnoteReference"/>
          <w:rFonts w:ascii="Garamond" w:hAnsi="Garamond"/>
        </w:rPr>
        <w:footnoteRef/>
      </w:r>
      <w:r w:rsidRPr="00BD3E5D">
        <w:rPr>
          <w:rFonts w:ascii="Garamond" w:hAnsi="Garamond"/>
        </w:rPr>
        <w:t xml:space="preserve"> MLRs used for rebate calculations also account for quality improvement and fraud detection expenses to adjust claims, and taxes and fees to adjust premiums.</w:t>
      </w:r>
    </w:p>
  </w:footnote>
  <w:footnote w:id="11">
    <w:p w14:paraId="2D0FF3BE" w14:textId="77777777" w:rsidR="00562B6E" w:rsidRDefault="00562B6E"/>
  </w:footnote>
  <w:footnote w:id="12">
    <w:p w14:paraId="58068CC0" w14:textId="77777777" w:rsidR="00562B6E" w:rsidRDefault="00562B6E"/>
  </w:footnote>
  <w:footnote w:id="13">
    <w:p w14:paraId="0E529298" w14:textId="77777777" w:rsidR="00562B6E" w:rsidRDefault="00562B6E"/>
  </w:footnote>
  <w:footnote w:id="14">
    <w:p w14:paraId="10CE99D4" w14:textId="77777777" w:rsidR="00562B6E" w:rsidRDefault="00562B6E"/>
  </w:footnote>
  <w:footnote w:id="15">
    <w:p w14:paraId="60F00DDD" w14:textId="77777777" w:rsidR="00562B6E" w:rsidRDefault="00562B6E"/>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0000018"/>
    <w:multiLevelType w:val="multilevel"/>
    <w:tmpl w:val="000000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01EE3B5C"/>
    <w:multiLevelType w:val="hybridMultilevel"/>
    <w:tmpl w:val="DD98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6279C8"/>
    <w:multiLevelType w:val="hybridMultilevel"/>
    <w:tmpl w:val="986A9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21337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5">
    <w:nsid w:val="39745E72"/>
    <w:multiLevelType w:val="hybridMultilevel"/>
    <w:tmpl w:val="0FE08434"/>
    <w:lvl w:ilvl="0" w:tplc="BEA8CE3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1F7295"/>
    <w:multiLevelType w:val="hybridMultilevel"/>
    <w:tmpl w:val="2A881B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55A4374A"/>
    <w:multiLevelType w:val="hybridMultilevel"/>
    <w:tmpl w:val="BE401C2C"/>
    <w:lvl w:ilvl="0" w:tplc="BEA8CE3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402FDF"/>
    <w:multiLevelType w:val="hybridMultilevel"/>
    <w:tmpl w:val="A5761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59424A"/>
    <w:multiLevelType w:val="hybridMultilevel"/>
    <w:tmpl w:val="964AFF40"/>
    <w:lvl w:ilvl="0" w:tplc="BEA8CE3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A81712"/>
    <w:multiLevelType w:val="hybridMultilevel"/>
    <w:tmpl w:val="91FC046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10"/>
  </w:num>
  <w:num w:numId="2">
    <w:abstractNumId w:val="8"/>
  </w:num>
  <w:num w:numId="3">
    <w:abstractNumId w:val="6"/>
  </w:num>
  <w:num w:numId="4">
    <w:abstractNumId w:val="3"/>
  </w:num>
  <w:num w:numId="5">
    <w:abstractNumId w:val="1"/>
  </w:num>
  <w:num w:numId="6">
    <w:abstractNumId w:val="0"/>
  </w:num>
  <w:num w:numId="7">
    <w:abstractNumId w:val="4"/>
  </w:num>
  <w:num w:numId="8">
    <w:abstractNumId w:val="9"/>
  </w:num>
  <w:num w:numId="9">
    <w:abstractNumId w:val="7"/>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980"/>
    <w:rsid w:val="00014F68"/>
    <w:rsid w:val="0001711E"/>
    <w:rsid w:val="0002580D"/>
    <w:rsid w:val="00044C06"/>
    <w:rsid w:val="0005122D"/>
    <w:rsid w:val="00057883"/>
    <w:rsid w:val="00060557"/>
    <w:rsid w:val="00080E11"/>
    <w:rsid w:val="00082B2F"/>
    <w:rsid w:val="00087873"/>
    <w:rsid w:val="0009356F"/>
    <w:rsid w:val="000A5A76"/>
    <w:rsid w:val="000C4CE8"/>
    <w:rsid w:val="000D4B71"/>
    <w:rsid w:val="000E3BF3"/>
    <w:rsid w:val="000F6D1E"/>
    <w:rsid w:val="0010389C"/>
    <w:rsid w:val="0012353D"/>
    <w:rsid w:val="00162DB9"/>
    <w:rsid w:val="0017114C"/>
    <w:rsid w:val="001763B4"/>
    <w:rsid w:val="00191486"/>
    <w:rsid w:val="001B11B3"/>
    <w:rsid w:val="001B415C"/>
    <w:rsid w:val="001D6699"/>
    <w:rsid w:val="001E0730"/>
    <w:rsid w:val="00230A77"/>
    <w:rsid w:val="002352FB"/>
    <w:rsid w:val="00254417"/>
    <w:rsid w:val="00273FD3"/>
    <w:rsid w:val="00281816"/>
    <w:rsid w:val="00283F81"/>
    <w:rsid w:val="00284F31"/>
    <w:rsid w:val="002D1F99"/>
    <w:rsid w:val="002E7575"/>
    <w:rsid w:val="00302316"/>
    <w:rsid w:val="00304594"/>
    <w:rsid w:val="003058EA"/>
    <w:rsid w:val="00306F44"/>
    <w:rsid w:val="00317997"/>
    <w:rsid w:val="003249F4"/>
    <w:rsid w:val="00347225"/>
    <w:rsid w:val="00361F2A"/>
    <w:rsid w:val="00371BA6"/>
    <w:rsid w:val="00373FFD"/>
    <w:rsid w:val="003B0560"/>
    <w:rsid w:val="003F08A9"/>
    <w:rsid w:val="00407EE5"/>
    <w:rsid w:val="00415378"/>
    <w:rsid w:val="00417420"/>
    <w:rsid w:val="004558E1"/>
    <w:rsid w:val="00457149"/>
    <w:rsid w:val="0046274F"/>
    <w:rsid w:val="00470363"/>
    <w:rsid w:val="004749A3"/>
    <w:rsid w:val="0048712E"/>
    <w:rsid w:val="00491447"/>
    <w:rsid w:val="004A5547"/>
    <w:rsid w:val="004D5235"/>
    <w:rsid w:val="004E3A50"/>
    <w:rsid w:val="004F1454"/>
    <w:rsid w:val="00536199"/>
    <w:rsid w:val="00562B6E"/>
    <w:rsid w:val="00572000"/>
    <w:rsid w:val="00580C5F"/>
    <w:rsid w:val="00583973"/>
    <w:rsid w:val="005A36AD"/>
    <w:rsid w:val="005C173D"/>
    <w:rsid w:val="005C1E32"/>
    <w:rsid w:val="005C4ADF"/>
    <w:rsid w:val="005D167A"/>
    <w:rsid w:val="006022B9"/>
    <w:rsid w:val="00613980"/>
    <w:rsid w:val="0061712B"/>
    <w:rsid w:val="006205AF"/>
    <w:rsid w:val="00621D2A"/>
    <w:rsid w:val="00646B7A"/>
    <w:rsid w:val="00675D20"/>
    <w:rsid w:val="006A5112"/>
    <w:rsid w:val="006D37AF"/>
    <w:rsid w:val="006E456F"/>
    <w:rsid w:val="006F46D3"/>
    <w:rsid w:val="007220A9"/>
    <w:rsid w:val="00743461"/>
    <w:rsid w:val="00743A2E"/>
    <w:rsid w:val="0077009C"/>
    <w:rsid w:val="007A012D"/>
    <w:rsid w:val="007A6EB3"/>
    <w:rsid w:val="007B5D96"/>
    <w:rsid w:val="007C35B4"/>
    <w:rsid w:val="007E4210"/>
    <w:rsid w:val="007E54AB"/>
    <w:rsid w:val="007E5AFA"/>
    <w:rsid w:val="00817BBE"/>
    <w:rsid w:val="00824AD9"/>
    <w:rsid w:val="00831441"/>
    <w:rsid w:val="008447B3"/>
    <w:rsid w:val="0086184B"/>
    <w:rsid w:val="00876979"/>
    <w:rsid w:val="00890E51"/>
    <w:rsid w:val="008B0978"/>
    <w:rsid w:val="008B2B8A"/>
    <w:rsid w:val="008E67EB"/>
    <w:rsid w:val="008F5155"/>
    <w:rsid w:val="0091393A"/>
    <w:rsid w:val="00920E3D"/>
    <w:rsid w:val="00926B0E"/>
    <w:rsid w:val="00941DE0"/>
    <w:rsid w:val="0096417F"/>
    <w:rsid w:val="00994B8F"/>
    <w:rsid w:val="009B76BE"/>
    <w:rsid w:val="009E370C"/>
    <w:rsid w:val="009F11EC"/>
    <w:rsid w:val="00A24AA3"/>
    <w:rsid w:val="00A27835"/>
    <w:rsid w:val="00A306DA"/>
    <w:rsid w:val="00A35F48"/>
    <w:rsid w:val="00A417E6"/>
    <w:rsid w:val="00A4213A"/>
    <w:rsid w:val="00A4798E"/>
    <w:rsid w:val="00A53692"/>
    <w:rsid w:val="00A61833"/>
    <w:rsid w:val="00A746C8"/>
    <w:rsid w:val="00A91A00"/>
    <w:rsid w:val="00A9233A"/>
    <w:rsid w:val="00AB7929"/>
    <w:rsid w:val="00AD262A"/>
    <w:rsid w:val="00AE0130"/>
    <w:rsid w:val="00AE4858"/>
    <w:rsid w:val="00B01C45"/>
    <w:rsid w:val="00B40AD8"/>
    <w:rsid w:val="00B56CE3"/>
    <w:rsid w:val="00B70EFD"/>
    <w:rsid w:val="00B73F19"/>
    <w:rsid w:val="00B83279"/>
    <w:rsid w:val="00BC2AE8"/>
    <w:rsid w:val="00BC369A"/>
    <w:rsid w:val="00BF13CF"/>
    <w:rsid w:val="00C0613C"/>
    <w:rsid w:val="00C50525"/>
    <w:rsid w:val="00C56BFD"/>
    <w:rsid w:val="00C62DA7"/>
    <w:rsid w:val="00C64E95"/>
    <w:rsid w:val="00CD2C8C"/>
    <w:rsid w:val="00CF17AA"/>
    <w:rsid w:val="00CF1B7B"/>
    <w:rsid w:val="00D0020C"/>
    <w:rsid w:val="00D073D7"/>
    <w:rsid w:val="00D10D16"/>
    <w:rsid w:val="00D16926"/>
    <w:rsid w:val="00D331D8"/>
    <w:rsid w:val="00D5508A"/>
    <w:rsid w:val="00D574FC"/>
    <w:rsid w:val="00D643EA"/>
    <w:rsid w:val="00D65E73"/>
    <w:rsid w:val="00D73639"/>
    <w:rsid w:val="00D74C14"/>
    <w:rsid w:val="00D74DDB"/>
    <w:rsid w:val="00D80054"/>
    <w:rsid w:val="00D96B0B"/>
    <w:rsid w:val="00DA32D7"/>
    <w:rsid w:val="00DA5A24"/>
    <w:rsid w:val="00DB6E53"/>
    <w:rsid w:val="00DC4103"/>
    <w:rsid w:val="00DF7961"/>
    <w:rsid w:val="00E230B4"/>
    <w:rsid w:val="00E240DB"/>
    <w:rsid w:val="00E35EF2"/>
    <w:rsid w:val="00E416A6"/>
    <w:rsid w:val="00E47538"/>
    <w:rsid w:val="00E509D1"/>
    <w:rsid w:val="00E66842"/>
    <w:rsid w:val="00E80CC5"/>
    <w:rsid w:val="00E8687A"/>
    <w:rsid w:val="00EA4DBF"/>
    <w:rsid w:val="00EB1B6C"/>
    <w:rsid w:val="00EC292C"/>
    <w:rsid w:val="00ED63E1"/>
    <w:rsid w:val="00F07FE1"/>
    <w:rsid w:val="00F2442A"/>
    <w:rsid w:val="00F40E28"/>
    <w:rsid w:val="00F823F5"/>
    <w:rsid w:val="00FA6D60"/>
    <w:rsid w:val="00FB44D2"/>
    <w:rsid w:val="00FB7DE8"/>
    <w:rsid w:val="00FD2916"/>
    <w:rsid w:val="00FF2A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8841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3">
    <w:name w:val="heading 3"/>
    <w:basedOn w:val="Normal"/>
    <w:next w:val="Normal"/>
    <w:link w:val="Heading3Char"/>
    <w:qFormat/>
    <w:rsid w:val="00AB7929"/>
    <w:pPr>
      <w:keepNext/>
      <w:keepLines/>
      <w:spacing w:before="200" w:after="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DA7"/>
    <w:pPr>
      <w:ind w:left="720"/>
      <w:contextualSpacing/>
    </w:pPr>
  </w:style>
  <w:style w:type="character" w:styleId="FootnoteReference">
    <w:name w:val="footnote reference"/>
    <w:uiPriority w:val="99"/>
    <w:rsid w:val="00AD262A"/>
    <w:rPr>
      <w:vertAlign w:val="superscript"/>
    </w:rPr>
  </w:style>
  <w:style w:type="character" w:customStyle="1" w:styleId="FootnoteTextChar">
    <w:name w:val="Footnote Text Char"/>
    <w:link w:val="FootnoteText"/>
    <w:uiPriority w:val="99"/>
    <w:rsid w:val="00AD262A"/>
    <w:rPr>
      <w:rFonts w:ascii="Cambria" w:hAnsi="Cambria"/>
    </w:rPr>
  </w:style>
  <w:style w:type="paragraph" w:styleId="FootnoteText">
    <w:name w:val="footnote text"/>
    <w:basedOn w:val="Normal"/>
    <w:link w:val="FootnoteTextChar"/>
    <w:uiPriority w:val="99"/>
    <w:rsid w:val="00AD262A"/>
    <w:pPr>
      <w:spacing w:after="0" w:line="240" w:lineRule="auto"/>
    </w:pPr>
    <w:rPr>
      <w:rFonts w:ascii="Cambria" w:hAnsi="Cambria"/>
      <w:sz w:val="20"/>
      <w:szCs w:val="20"/>
    </w:rPr>
  </w:style>
  <w:style w:type="character" w:customStyle="1" w:styleId="FootnoteTextChar1">
    <w:name w:val="Footnote Text Char1"/>
    <w:basedOn w:val="DefaultParagraphFont"/>
    <w:uiPriority w:val="99"/>
    <w:semiHidden/>
    <w:rsid w:val="00AD262A"/>
  </w:style>
  <w:style w:type="paragraph" w:styleId="Header">
    <w:name w:val="header"/>
    <w:basedOn w:val="Normal"/>
    <w:link w:val="HeaderChar"/>
    <w:uiPriority w:val="99"/>
    <w:unhideWhenUsed/>
    <w:rsid w:val="00FB7D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DE8"/>
    <w:rPr>
      <w:sz w:val="22"/>
      <w:szCs w:val="22"/>
    </w:rPr>
  </w:style>
  <w:style w:type="paragraph" w:styleId="Footer">
    <w:name w:val="footer"/>
    <w:basedOn w:val="Normal"/>
    <w:link w:val="FooterChar"/>
    <w:uiPriority w:val="99"/>
    <w:unhideWhenUsed/>
    <w:rsid w:val="00FB7D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DE8"/>
    <w:rPr>
      <w:sz w:val="22"/>
      <w:szCs w:val="22"/>
    </w:rPr>
  </w:style>
  <w:style w:type="character" w:styleId="CommentReference">
    <w:name w:val="annotation reference"/>
    <w:basedOn w:val="DefaultParagraphFont"/>
    <w:uiPriority w:val="99"/>
    <w:semiHidden/>
    <w:unhideWhenUsed/>
    <w:rsid w:val="00407EE5"/>
    <w:rPr>
      <w:sz w:val="16"/>
      <w:szCs w:val="16"/>
    </w:rPr>
  </w:style>
  <w:style w:type="paragraph" w:styleId="CommentText">
    <w:name w:val="annotation text"/>
    <w:basedOn w:val="Normal"/>
    <w:link w:val="CommentTextChar"/>
    <w:uiPriority w:val="99"/>
    <w:unhideWhenUsed/>
    <w:rsid w:val="00407EE5"/>
    <w:pPr>
      <w:spacing w:line="240" w:lineRule="auto"/>
    </w:pPr>
    <w:rPr>
      <w:sz w:val="20"/>
      <w:szCs w:val="20"/>
    </w:rPr>
  </w:style>
  <w:style w:type="character" w:customStyle="1" w:styleId="CommentTextChar">
    <w:name w:val="Comment Text Char"/>
    <w:basedOn w:val="DefaultParagraphFont"/>
    <w:link w:val="CommentText"/>
    <w:uiPriority w:val="99"/>
    <w:rsid w:val="00407EE5"/>
  </w:style>
  <w:style w:type="paragraph" w:styleId="CommentSubject">
    <w:name w:val="annotation subject"/>
    <w:basedOn w:val="CommentText"/>
    <w:next w:val="CommentText"/>
    <w:link w:val="CommentSubjectChar"/>
    <w:uiPriority w:val="99"/>
    <w:semiHidden/>
    <w:unhideWhenUsed/>
    <w:rsid w:val="00407EE5"/>
    <w:rPr>
      <w:b/>
      <w:bCs/>
    </w:rPr>
  </w:style>
  <w:style w:type="character" w:customStyle="1" w:styleId="CommentSubjectChar">
    <w:name w:val="Comment Subject Char"/>
    <w:basedOn w:val="CommentTextChar"/>
    <w:link w:val="CommentSubject"/>
    <w:uiPriority w:val="99"/>
    <w:semiHidden/>
    <w:rsid w:val="00407EE5"/>
    <w:rPr>
      <w:b/>
      <w:bCs/>
    </w:rPr>
  </w:style>
  <w:style w:type="paragraph" w:styleId="BalloonText">
    <w:name w:val="Balloon Text"/>
    <w:basedOn w:val="Normal"/>
    <w:link w:val="BalloonTextChar"/>
    <w:uiPriority w:val="99"/>
    <w:semiHidden/>
    <w:unhideWhenUsed/>
    <w:rsid w:val="00407E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EE5"/>
    <w:rPr>
      <w:rFonts w:ascii="Tahoma" w:hAnsi="Tahoma" w:cs="Tahoma"/>
      <w:sz w:val="16"/>
      <w:szCs w:val="16"/>
    </w:rPr>
  </w:style>
  <w:style w:type="table" w:styleId="TableGrid">
    <w:name w:val="Table Grid"/>
    <w:basedOn w:val="TableNormal"/>
    <w:uiPriority w:val="59"/>
    <w:rsid w:val="000878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087873"/>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rsid w:val="0008787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087873"/>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Hyperlink">
    <w:name w:val="Hyperlink"/>
    <w:uiPriority w:val="99"/>
    <w:rsid w:val="00AB7929"/>
    <w:rPr>
      <w:color w:val="0000FF"/>
      <w:u w:val="single"/>
    </w:rPr>
  </w:style>
  <w:style w:type="character" w:customStyle="1" w:styleId="Heading3Char">
    <w:name w:val="Heading 3 Char"/>
    <w:basedOn w:val="DefaultParagraphFont"/>
    <w:link w:val="Heading3"/>
    <w:rsid w:val="00AB7929"/>
    <w:rPr>
      <w:rFonts w:ascii="Cambria" w:hAnsi="Cambria"/>
      <w:b/>
      <w:bCs/>
      <w:color w:val="4F81BD"/>
      <w:sz w:val="22"/>
      <w:szCs w:val="22"/>
    </w:rPr>
  </w:style>
  <w:style w:type="character" w:styleId="FollowedHyperlink">
    <w:name w:val="FollowedHyperlink"/>
    <w:basedOn w:val="DefaultParagraphFont"/>
    <w:uiPriority w:val="99"/>
    <w:semiHidden/>
    <w:unhideWhenUsed/>
    <w:rsid w:val="00EC292C"/>
    <w:rPr>
      <w:color w:val="800080" w:themeColor="followedHyperlink"/>
      <w:u w:val="single"/>
    </w:rPr>
  </w:style>
  <w:style w:type="paragraph" w:styleId="Revision">
    <w:name w:val="Revision"/>
    <w:hidden/>
    <w:uiPriority w:val="99"/>
    <w:semiHidden/>
    <w:rsid w:val="00CF17AA"/>
    <w:rPr>
      <w:sz w:val="22"/>
      <w:szCs w:val="22"/>
    </w:rPr>
  </w:style>
  <w:style w:type="paragraph" w:customStyle="1" w:styleId="CalloutQuotes">
    <w:name w:val="Callout Quotes"/>
    <w:basedOn w:val="Normal"/>
    <w:uiPriority w:val="99"/>
    <w:rsid w:val="00E416A6"/>
    <w:pPr>
      <w:widowControl w:val="0"/>
      <w:suppressAutoHyphens/>
      <w:autoSpaceDE w:val="0"/>
      <w:autoSpaceDN w:val="0"/>
      <w:adjustRightInd w:val="0"/>
      <w:spacing w:after="0" w:line="560" w:lineRule="atLeast"/>
      <w:textAlignment w:val="center"/>
    </w:pPr>
    <w:rPr>
      <w:rFonts w:ascii="HelveticaNeueLTPro-LtCn" w:hAnsi="HelveticaNeueLTPro-LtCn" w:cs="HelveticaNeueLTPro-LtCn"/>
      <w:color w:val="005480"/>
      <w:spacing w:val="1"/>
      <w:sz w:val="40"/>
      <w:szCs w:val="40"/>
    </w:rPr>
  </w:style>
  <w:style w:type="character" w:customStyle="1" w:styleId="FigureHeader">
    <w:name w:val="Figure Header"/>
    <w:basedOn w:val="DefaultParagraphFont"/>
    <w:uiPriority w:val="99"/>
    <w:rsid w:val="00E416A6"/>
    <w:rPr>
      <w:rFonts w:ascii="HelveticaNeue-CondensedBold" w:hAnsi="HelveticaNeue-CondensedBold" w:cs="HelveticaNeue-CondensedBold"/>
      <w:b/>
      <w:bCs/>
      <w:color w:val="706F73"/>
      <w:position w:val="0"/>
      <w:sz w:val="19"/>
      <w:szCs w:val="19"/>
      <w:vertAlign w:val="baseline"/>
    </w:rPr>
  </w:style>
  <w:style w:type="paragraph" w:customStyle="1" w:styleId="Body-Doc">
    <w:name w:val="Body- Doc"/>
    <w:basedOn w:val="Normal"/>
    <w:uiPriority w:val="99"/>
    <w:rsid w:val="000A5A76"/>
    <w:pPr>
      <w:widowControl w:val="0"/>
      <w:suppressAutoHyphens/>
      <w:autoSpaceDE w:val="0"/>
      <w:autoSpaceDN w:val="0"/>
      <w:adjustRightInd w:val="0"/>
      <w:spacing w:after="180" w:line="280" w:lineRule="atLeast"/>
      <w:textAlignment w:val="center"/>
    </w:pPr>
    <w:rPr>
      <w:rFonts w:ascii="TimesNewRomanPSMT" w:hAnsi="TimesNewRomanPSMT" w:cs="TimesNewRomanPSMT"/>
      <w:color w:val="000000"/>
      <w:spacing w:val="1"/>
      <w:sz w:val="19"/>
      <w:szCs w:val="19"/>
    </w:rPr>
  </w:style>
  <w:style w:type="paragraph" w:customStyle="1" w:styleId="SupplementLineup">
    <w:name w:val="Supplement Line up"/>
    <w:basedOn w:val="Body-Doc"/>
    <w:uiPriority w:val="99"/>
    <w:rsid w:val="000A5A76"/>
    <w:pPr>
      <w:spacing w:line="240" w:lineRule="atLeast"/>
    </w:pPr>
    <w:rPr>
      <w:rFonts w:ascii="HelveticaNeue" w:hAnsi="HelveticaNeue" w:cs="HelveticaNeue"/>
      <w:w w:val="96"/>
      <w:sz w:val="18"/>
      <w:szCs w:val="18"/>
    </w:rPr>
  </w:style>
  <w:style w:type="paragraph" w:customStyle="1" w:styleId="Acknowledgements">
    <w:name w:val="Acknowledgements"/>
    <w:basedOn w:val="SupplementLineup"/>
    <w:uiPriority w:val="99"/>
    <w:rsid w:val="000A5A76"/>
    <w:pPr>
      <w:spacing w:after="0"/>
    </w:pPr>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3">
    <w:name w:val="heading 3"/>
    <w:basedOn w:val="Normal"/>
    <w:next w:val="Normal"/>
    <w:link w:val="Heading3Char"/>
    <w:qFormat/>
    <w:rsid w:val="00AB7929"/>
    <w:pPr>
      <w:keepNext/>
      <w:keepLines/>
      <w:spacing w:before="200" w:after="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DA7"/>
    <w:pPr>
      <w:ind w:left="720"/>
      <w:contextualSpacing/>
    </w:pPr>
  </w:style>
  <w:style w:type="character" w:styleId="FootnoteReference">
    <w:name w:val="footnote reference"/>
    <w:uiPriority w:val="99"/>
    <w:rsid w:val="00AD262A"/>
    <w:rPr>
      <w:vertAlign w:val="superscript"/>
    </w:rPr>
  </w:style>
  <w:style w:type="character" w:customStyle="1" w:styleId="FootnoteTextChar">
    <w:name w:val="Footnote Text Char"/>
    <w:link w:val="FootnoteText"/>
    <w:uiPriority w:val="99"/>
    <w:rsid w:val="00AD262A"/>
    <w:rPr>
      <w:rFonts w:ascii="Cambria" w:hAnsi="Cambria"/>
    </w:rPr>
  </w:style>
  <w:style w:type="paragraph" w:styleId="FootnoteText">
    <w:name w:val="footnote text"/>
    <w:basedOn w:val="Normal"/>
    <w:link w:val="FootnoteTextChar"/>
    <w:uiPriority w:val="99"/>
    <w:rsid w:val="00AD262A"/>
    <w:pPr>
      <w:spacing w:after="0" w:line="240" w:lineRule="auto"/>
    </w:pPr>
    <w:rPr>
      <w:rFonts w:ascii="Cambria" w:hAnsi="Cambria"/>
      <w:sz w:val="20"/>
      <w:szCs w:val="20"/>
    </w:rPr>
  </w:style>
  <w:style w:type="character" w:customStyle="1" w:styleId="FootnoteTextChar1">
    <w:name w:val="Footnote Text Char1"/>
    <w:basedOn w:val="DefaultParagraphFont"/>
    <w:uiPriority w:val="99"/>
    <w:semiHidden/>
    <w:rsid w:val="00AD262A"/>
  </w:style>
  <w:style w:type="paragraph" w:styleId="Header">
    <w:name w:val="header"/>
    <w:basedOn w:val="Normal"/>
    <w:link w:val="HeaderChar"/>
    <w:uiPriority w:val="99"/>
    <w:unhideWhenUsed/>
    <w:rsid w:val="00FB7D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DE8"/>
    <w:rPr>
      <w:sz w:val="22"/>
      <w:szCs w:val="22"/>
    </w:rPr>
  </w:style>
  <w:style w:type="paragraph" w:styleId="Footer">
    <w:name w:val="footer"/>
    <w:basedOn w:val="Normal"/>
    <w:link w:val="FooterChar"/>
    <w:uiPriority w:val="99"/>
    <w:unhideWhenUsed/>
    <w:rsid w:val="00FB7D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DE8"/>
    <w:rPr>
      <w:sz w:val="22"/>
      <w:szCs w:val="22"/>
    </w:rPr>
  </w:style>
  <w:style w:type="character" w:styleId="CommentReference">
    <w:name w:val="annotation reference"/>
    <w:basedOn w:val="DefaultParagraphFont"/>
    <w:uiPriority w:val="99"/>
    <w:semiHidden/>
    <w:unhideWhenUsed/>
    <w:rsid w:val="00407EE5"/>
    <w:rPr>
      <w:sz w:val="16"/>
      <w:szCs w:val="16"/>
    </w:rPr>
  </w:style>
  <w:style w:type="paragraph" w:styleId="CommentText">
    <w:name w:val="annotation text"/>
    <w:basedOn w:val="Normal"/>
    <w:link w:val="CommentTextChar"/>
    <w:uiPriority w:val="99"/>
    <w:unhideWhenUsed/>
    <w:rsid w:val="00407EE5"/>
    <w:pPr>
      <w:spacing w:line="240" w:lineRule="auto"/>
    </w:pPr>
    <w:rPr>
      <w:sz w:val="20"/>
      <w:szCs w:val="20"/>
    </w:rPr>
  </w:style>
  <w:style w:type="character" w:customStyle="1" w:styleId="CommentTextChar">
    <w:name w:val="Comment Text Char"/>
    <w:basedOn w:val="DefaultParagraphFont"/>
    <w:link w:val="CommentText"/>
    <w:uiPriority w:val="99"/>
    <w:rsid w:val="00407EE5"/>
  </w:style>
  <w:style w:type="paragraph" w:styleId="CommentSubject">
    <w:name w:val="annotation subject"/>
    <w:basedOn w:val="CommentText"/>
    <w:next w:val="CommentText"/>
    <w:link w:val="CommentSubjectChar"/>
    <w:uiPriority w:val="99"/>
    <w:semiHidden/>
    <w:unhideWhenUsed/>
    <w:rsid w:val="00407EE5"/>
    <w:rPr>
      <w:b/>
      <w:bCs/>
    </w:rPr>
  </w:style>
  <w:style w:type="character" w:customStyle="1" w:styleId="CommentSubjectChar">
    <w:name w:val="Comment Subject Char"/>
    <w:basedOn w:val="CommentTextChar"/>
    <w:link w:val="CommentSubject"/>
    <w:uiPriority w:val="99"/>
    <w:semiHidden/>
    <w:rsid w:val="00407EE5"/>
    <w:rPr>
      <w:b/>
      <w:bCs/>
    </w:rPr>
  </w:style>
  <w:style w:type="paragraph" w:styleId="BalloonText">
    <w:name w:val="Balloon Text"/>
    <w:basedOn w:val="Normal"/>
    <w:link w:val="BalloonTextChar"/>
    <w:uiPriority w:val="99"/>
    <w:semiHidden/>
    <w:unhideWhenUsed/>
    <w:rsid w:val="00407E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EE5"/>
    <w:rPr>
      <w:rFonts w:ascii="Tahoma" w:hAnsi="Tahoma" w:cs="Tahoma"/>
      <w:sz w:val="16"/>
      <w:szCs w:val="16"/>
    </w:rPr>
  </w:style>
  <w:style w:type="table" w:styleId="TableGrid">
    <w:name w:val="Table Grid"/>
    <w:basedOn w:val="TableNormal"/>
    <w:uiPriority w:val="59"/>
    <w:rsid w:val="000878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087873"/>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rsid w:val="0008787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087873"/>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Hyperlink">
    <w:name w:val="Hyperlink"/>
    <w:uiPriority w:val="99"/>
    <w:rsid w:val="00AB7929"/>
    <w:rPr>
      <w:color w:val="0000FF"/>
      <w:u w:val="single"/>
    </w:rPr>
  </w:style>
  <w:style w:type="character" w:customStyle="1" w:styleId="Heading3Char">
    <w:name w:val="Heading 3 Char"/>
    <w:basedOn w:val="DefaultParagraphFont"/>
    <w:link w:val="Heading3"/>
    <w:rsid w:val="00AB7929"/>
    <w:rPr>
      <w:rFonts w:ascii="Cambria" w:hAnsi="Cambria"/>
      <w:b/>
      <w:bCs/>
      <w:color w:val="4F81BD"/>
      <w:sz w:val="22"/>
      <w:szCs w:val="22"/>
    </w:rPr>
  </w:style>
  <w:style w:type="character" w:styleId="FollowedHyperlink">
    <w:name w:val="FollowedHyperlink"/>
    <w:basedOn w:val="DefaultParagraphFont"/>
    <w:uiPriority w:val="99"/>
    <w:semiHidden/>
    <w:unhideWhenUsed/>
    <w:rsid w:val="00EC292C"/>
    <w:rPr>
      <w:color w:val="800080" w:themeColor="followedHyperlink"/>
      <w:u w:val="single"/>
    </w:rPr>
  </w:style>
  <w:style w:type="paragraph" w:styleId="Revision">
    <w:name w:val="Revision"/>
    <w:hidden/>
    <w:uiPriority w:val="99"/>
    <w:semiHidden/>
    <w:rsid w:val="00CF17AA"/>
    <w:rPr>
      <w:sz w:val="22"/>
      <w:szCs w:val="22"/>
    </w:rPr>
  </w:style>
  <w:style w:type="paragraph" w:customStyle="1" w:styleId="CalloutQuotes">
    <w:name w:val="Callout Quotes"/>
    <w:basedOn w:val="Normal"/>
    <w:uiPriority w:val="99"/>
    <w:rsid w:val="00E416A6"/>
    <w:pPr>
      <w:widowControl w:val="0"/>
      <w:suppressAutoHyphens/>
      <w:autoSpaceDE w:val="0"/>
      <w:autoSpaceDN w:val="0"/>
      <w:adjustRightInd w:val="0"/>
      <w:spacing w:after="0" w:line="560" w:lineRule="atLeast"/>
      <w:textAlignment w:val="center"/>
    </w:pPr>
    <w:rPr>
      <w:rFonts w:ascii="HelveticaNeueLTPro-LtCn" w:hAnsi="HelveticaNeueLTPro-LtCn" w:cs="HelveticaNeueLTPro-LtCn"/>
      <w:color w:val="005480"/>
      <w:spacing w:val="1"/>
      <w:sz w:val="40"/>
      <w:szCs w:val="40"/>
    </w:rPr>
  </w:style>
  <w:style w:type="character" w:customStyle="1" w:styleId="FigureHeader">
    <w:name w:val="Figure Header"/>
    <w:basedOn w:val="DefaultParagraphFont"/>
    <w:uiPriority w:val="99"/>
    <w:rsid w:val="00E416A6"/>
    <w:rPr>
      <w:rFonts w:ascii="HelveticaNeue-CondensedBold" w:hAnsi="HelveticaNeue-CondensedBold" w:cs="HelveticaNeue-CondensedBold"/>
      <w:b/>
      <w:bCs/>
      <w:color w:val="706F73"/>
      <w:position w:val="0"/>
      <w:sz w:val="19"/>
      <w:szCs w:val="19"/>
      <w:vertAlign w:val="baseline"/>
    </w:rPr>
  </w:style>
  <w:style w:type="paragraph" w:customStyle="1" w:styleId="Body-Doc">
    <w:name w:val="Body- Doc"/>
    <w:basedOn w:val="Normal"/>
    <w:uiPriority w:val="99"/>
    <w:rsid w:val="000A5A76"/>
    <w:pPr>
      <w:widowControl w:val="0"/>
      <w:suppressAutoHyphens/>
      <w:autoSpaceDE w:val="0"/>
      <w:autoSpaceDN w:val="0"/>
      <w:adjustRightInd w:val="0"/>
      <w:spacing w:after="180" w:line="280" w:lineRule="atLeast"/>
      <w:textAlignment w:val="center"/>
    </w:pPr>
    <w:rPr>
      <w:rFonts w:ascii="TimesNewRomanPSMT" w:hAnsi="TimesNewRomanPSMT" w:cs="TimesNewRomanPSMT"/>
      <w:color w:val="000000"/>
      <w:spacing w:val="1"/>
      <w:sz w:val="19"/>
      <w:szCs w:val="19"/>
    </w:rPr>
  </w:style>
  <w:style w:type="paragraph" w:customStyle="1" w:styleId="SupplementLineup">
    <w:name w:val="Supplement Line up"/>
    <w:basedOn w:val="Body-Doc"/>
    <w:uiPriority w:val="99"/>
    <w:rsid w:val="000A5A76"/>
    <w:pPr>
      <w:spacing w:line="240" w:lineRule="atLeast"/>
    </w:pPr>
    <w:rPr>
      <w:rFonts w:ascii="HelveticaNeue" w:hAnsi="HelveticaNeue" w:cs="HelveticaNeue"/>
      <w:w w:val="96"/>
      <w:sz w:val="18"/>
      <w:szCs w:val="18"/>
    </w:rPr>
  </w:style>
  <w:style w:type="paragraph" w:customStyle="1" w:styleId="Acknowledgements">
    <w:name w:val="Acknowledgements"/>
    <w:basedOn w:val="SupplementLineup"/>
    <w:uiPriority w:val="99"/>
    <w:rsid w:val="000A5A76"/>
    <w:pPr>
      <w:spacing w:after="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327441">
      <w:bodyDiv w:val="1"/>
      <w:marLeft w:val="0"/>
      <w:marRight w:val="0"/>
      <w:marTop w:val="0"/>
      <w:marBottom w:val="0"/>
      <w:divBdr>
        <w:top w:val="none" w:sz="0" w:space="0" w:color="auto"/>
        <w:left w:val="none" w:sz="0" w:space="0" w:color="auto"/>
        <w:bottom w:val="none" w:sz="0" w:space="0" w:color="auto"/>
        <w:right w:val="none" w:sz="0" w:space="0" w:color="auto"/>
      </w:divBdr>
    </w:div>
    <w:div w:id="281424705">
      <w:bodyDiv w:val="1"/>
      <w:marLeft w:val="0"/>
      <w:marRight w:val="0"/>
      <w:marTop w:val="0"/>
      <w:marBottom w:val="0"/>
      <w:divBdr>
        <w:top w:val="none" w:sz="0" w:space="0" w:color="auto"/>
        <w:left w:val="none" w:sz="0" w:space="0" w:color="auto"/>
        <w:bottom w:val="none" w:sz="0" w:space="0" w:color="auto"/>
        <w:right w:val="none" w:sz="0" w:space="0" w:color="auto"/>
      </w:divBdr>
    </w:div>
    <w:div w:id="1661957905">
      <w:bodyDiv w:val="1"/>
      <w:marLeft w:val="0"/>
      <w:marRight w:val="0"/>
      <w:marTop w:val="0"/>
      <w:marBottom w:val="0"/>
      <w:divBdr>
        <w:top w:val="none" w:sz="0" w:space="0" w:color="auto"/>
        <w:left w:val="none" w:sz="0" w:space="0" w:color="auto"/>
        <w:bottom w:val="none" w:sz="0" w:space="0" w:color="auto"/>
        <w:right w:val="none" w:sz="0" w:space="0" w:color="auto"/>
      </w:divBdr>
    </w:div>
    <w:div w:id="198931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footer" Target="footer1.xml"/>
  <Relationship Id="rId11" Type="http://schemas.openxmlformats.org/officeDocument/2006/relationships/fontTable" Target="fontTable.xml"/>
  <Relationship Id="rId12" Type="http://schemas.openxmlformats.org/officeDocument/2006/relationships/theme" Target="theme/theme1.xml"/>
  <Relationship Id="rId2" Type="http://schemas.openxmlformats.org/officeDocument/2006/relationships/numbering" Target="numbering.xml"/>
  <Relationship Id="rId3" Type="http://schemas.openxmlformats.org/officeDocument/2006/relationships/styles" Target="styles.xml"/>
  <Relationship Id="rId4" Type="http://schemas.microsoft.com/office/2007/relationships/stylesWithEffects" Target="stylesWithEffects.xml"/>
  <Relationship Id="rId5" Type="http://schemas.openxmlformats.org/officeDocument/2006/relationships/settings" Target="settings.xml"/>
  <Relationship Id="rId6" Type="http://schemas.openxmlformats.org/officeDocument/2006/relationships/webSettings" Target="webSettings.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png"/>
</Relationships>

</file>

<file path=word/_rels/footnotes.xml.rels><?xml version="1.0" encoding="UTF-8"?>

<Relationships xmlns="http://schemas.openxmlformats.org/package/2006/relationships">
  <Relationship Id="rId1" Type="http://schemas.openxmlformats.org/officeDocument/2006/relationships/hyperlink" TargetMode="External" Target="http://www.va.gov/vetdata/Expenditures.asp"/>
  <Relationship Id="rId2" Type="http://schemas.openxmlformats.org/officeDocument/2006/relationships/hyperlink" TargetMode="External" Target="http://www.mass.gov/chia/docs/r/pubs/13/thce-methodology.pdf"/>
  <Relationship Id="rId3" Type="http://schemas.openxmlformats.org/officeDocument/2006/relationships/hyperlink" TargetMode="External" Target="http://www.cms.gov/CCIIO/Resources/Data-Resources/mlr.html"/>
  <Relationship Id="rId4" Type="http://schemas.openxmlformats.org/officeDocument/2006/relationships/hyperlink" TargetMode="External" Target="http://www.cms.gov/CCIIO/Resources/Data-Resources/mlr.ht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D70C1-AB7A-6045-8327-7BE9D497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6096</Words>
  <Characters>34750</Characters>
  <Application>Microsoft Macintosh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40765</CharactersWithSpaces>
  <SharedDoc>false</SharedDoc>
  <HyperlinksChanged>false</HyperlinksChanged>
  <AppVersion>14.0000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2014-09-02T10:53:00Z</dcterms:created>
  <dc:creator>sysadmin</dc:creator>
  <lastModifiedBy>Casey B Kincheloe</lastModifiedBy>
  <lastPrinted>2014-09-02T03:05:00Z</lastPrinted>
  <dcterms:modified xsi:type="dcterms:W3CDTF">2014-09-02T10:53:00Z</dcterms:modified>
  <revision>2</revision>
</coreProperties>
</file>