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84944" w14:textId="77777777" w:rsidR="002D192F" w:rsidRDefault="002D192F" w:rsidP="0029393C">
      <w:pPr>
        <w:spacing w:after="0"/>
        <w:jc w:val="center"/>
        <w:rPr>
          <w:b/>
          <w:sz w:val="24"/>
        </w:rPr>
      </w:pPr>
      <w:bookmarkStart w:id="0" w:name="_GoBack"/>
      <w:r>
        <w:rPr>
          <w:b/>
          <w:noProof/>
          <w:sz w:val="24"/>
        </w:rPr>
        <w:drawing>
          <wp:anchor distT="0" distB="0" distL="114300" distR="114300" simplePos="0" relativeHeight="251658240" behindDoc="0" locked="1" layoutInCell="1" allowOverlap="0" wp14:anchorId="5C30D8D5" wp14:editId="09069103">
            <wp:simplePos x="0" y="0"/>
            <wp:positionH relativeFrom="column">
              <wp:posOffset>-571500</wp:posOffset>
            </wp:positionH>
            <wp:positionV relativeFrom="page">
              <wp:posOffset>800100</wp:posOffset>
            </wp:positionV>
            <wp:extent cx="7162800" cy="8178800"/>
            <wp:effectExtent l="0" t="0" r="0" b="0"/>
            <wp:wrapSquare wrapText="bothSides"/>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0" cy="8178800"/>
                    </a:xfrm>
                    <a:prstGeom prst="rect">
                      <a:avLst/>
                    </a:prstGeom>
                    <a:noFill/>
                    <a:ln>
                      <a:noFill/>
                    </a:ln>
                    <a:extLst>
                      <a:ext uri="{FAA26D3D-D897-4be2-8F04-BA451C77F1D7}">
                        <ma14:placeholderFlag xmlns:ma14="http://schemas.microsoft.com/office/mac/drawingml/2011/main"/>
                      </a:ext>
                    </a:extLst>
                  </pic:spPr>
                </pic:pic>
              </a:graphicData>
            </a:graphic>
          </wp:anchor>
        </w:drawing>
      </w:r>
      <w:bookmarkEnd w:id="0"/>
    </w:p>
    <w:p w14:paraId="35BF96BC" w14:textId="77777777" w:rsidR="00E97E60" w:rsidRPr="00AB1125" w:rsidRDefault="00E97E60" w:rsidP="00AB1125">
      <w:pPr>
        <w:spacing w:after="0"/>
        <w:jc w:val="center"/>
        <w:rPr>
          <w:sz w:val="24"/>
        </w:rPr>
      </w:pPr>
      <w:r w:rsidRPr="00AB1125">
        <w:rPr>
          <w:b/>
          <w:sz w:val="24"/>
        </w:rPr>
        <w:lastRenderedPageBreak/>
        <w:t>Technical Note</w:t>
      </w:r>
    </w:p>
    <w:p w14:paraId="12068CC1" w14:textId="77777777" w:rsidR="00106350" w:rsidRPr="00AB1125" w:rsidRDefault="00E97E60" w:rsidP="00AB1125">
      <w:pPr>
        <w:spacing w:after="0"/>
        <w:jc w:val="center"/>
        <w:rPr>
          <w:sz w:val="24"/>
        </w:rPr>
      </w:pPr>
      <w:r w:rsidRPr="00AB1125">
        <w:rPr>
          <w:sz w:val="24"/>
        </w:rPr>
        <w:t xml:space="preserve">Comparison </w:t>
      </w:r>
      <w:r w:rsidR="002F27EC" w:rsidRPr="00AB1125">
        <w:rPr>
          <w:sz w:val="24"/>
        </w:rPr>
        <w:t xml:space="preserve">of </w:t>
      </w:r>
      <w:r w:rsidRPr="00AB1125">
        <w:rPr>
          <w:sz w:val="24"/>
        </w:rPr>
        <w:t xml:space="preserve">Methodologies </w:t>
      </w:r>
      <w:r w:rsidR="00736F54">
        <w:rPr>
          <w:sz w:val="24"/>
        </w:rPr>
        <w:t>between</w:t>
      </w:r>
      <w:r w:rsidR="002F27EC" w:rsidRPr="00AB1125">
        <w:rPr>
          <w:sz w:val="24"/>
        </w:rPr>
        <w:t xml:space="preserve"> </w:t>
      </w:r>
      <w:r w:rsidRPr="00AB1125">
        <w:rPr>
          <w:sz w:val="24"/>
        </w:rPr>
        <w:t xml:space="preserve">Total Health Care Expenditures </w:t>
      </w:r>
      <w:r w:rsidR="002F27EC" w:rsidRPr="00AB1125">
        <w:rPr>
          <w:sz w:val="24"/>
        </w:rPr>
        <w:t xml:space="preserve">and </w:t>
      </w:r>
      <w:r w:rsidRPr="00AB1125">
        <w:rPr>
          <w:sz w:val="24"/>
        </w:rPr>
        <w:t>State Health Expenditure Accounts</w:t>
      </w:r>
    </w:p>
    <w:p w14:paraId="20529584" w14:textId="77777777" w:rsidR="00401E33" w:rsidRPr="00E06BEE" w:rsidRDefault="00401E33" w:rsidP="00805E16">
      <w:pPr>
        <w:spacing w:after="120"/>
      </w:pPr>
    </w:p>
    <w:p w14:paraId="1B3EB4C8" w14:textId="77777777" w:rsidR="00AC67D5" w:rsidRPr="00E06BEE" w:rsidRDefault="00E140E5" w:rsidP="00AC67D5">
      <w:pPr>
        <w:rPr>
          <w:b/>
        </w:rPr>
      </w:pPr>
      <w:r w:rsidRPr="00E06BEE">
        <w:rPr>
          <w:b/>
        </w:rPr>
        <w:t>Executive Summary</w:t>
      </w:r>
    </w:p>
    <w:p w14:paraId="4FAA2F9A" w14:textId="77777777" w:rsidR="00FA3E99" w:rsidRDefault="00FC054B" w:rsidP="00AC67D5">
      <w:r w:rsidRPr="00E06BEE">
        <w:t xml:space="preserve">This Technical Note </w:t>
      </w:r>
      <w:r w:rsidR="00277D14">
        <w:t>discusses</w:t>
      </w:r>
      <w:r w:rsidRPr="00E06BEE">
        <w:t xml:space="preserve"> the differences between two distinct measures of state-level health care spending: Total Health Care Expenditures (THCE) and State Health Expenditure Accounts (SHEA). </w:t>
      </w:r>
      <w:r w:rsidR="00E140E5" w:rsidRPr="00E06BEE">
        <w:t xml:space="preserve">THCE is calculated and publicly reported </w:t>
      </w:r>
      <w:r w:rsidR="00823DF1">
        <w:t xml:space="preserve">annually </w:t>
      </w:r>
      <w:r w:rsidR="00E140E5" w:rsidRPr="00E06BEE">
        <w:t>by the Center for Health Information and Analysis (CHIA)</w:t>
      </w:r>
      <w:r w:rsidR="0052789B">
        <w:t>,</w:t>
      </w:r>
      <w:r w:rsidR="00E140E5" w:rsidRPr="00E06BEE">
        <w:t xml:space="preserve"> </w:t>
      </w:r>
      <w:r w:rsidR="0052789B">
        <w:t>wh</w:t>
      </w:r>
      <w:r w:rsidR="0048219F">
        <w:t>ereas</w:t>
      </w:r>
      <w:r w:rsidR="00E140E5" w:rsidRPr="00E06BEE">
        <w:t xml:space="preserve"> SHEA is published every five years by the Centers for Medicare and Medicaid Services (CMS). </w:t>
      </w:r>
    </w:p>
    <w:p w14:paraId="4EF103B5" w14:textId="77777777" w:rsidR="00FA3E99" w:rsidRPr="00E06BEE" w:rsidRDefault="00FA3E99" w:rsidP="00FA3E99">
      <w:r w:rsidRPr="00E06BEE">
        <w:t xml:space="preserve">THCE and SHEA are each constructed to support their different </w:t>
      </w:r>
      <w:r w:rsidRPr="00E11A93">
        <w:t>intended uses</w:t>
      </w:r>
      <w:r w:rsidRPr="00E06BEE">
        <w:t xml:space="preserve">. </w:t>
      </w:r>
      <w:r>
        <w:t xml:space="preserve">THCE is a Massachusetts-specific </w:t>
      </w:r>
      <w:r w:rsidR="00E2547C">
        <w:t xml:space="preserve">measure </w:t>
      </w:r>
      <w:r>
        <w:t xml:space="preserve">and is not intended to be compared with other states. The </w:t>
      </w:r>
      <w:r w:rsidR="006253F0">
        <w:t>primary</w:t>
      </w:r>
      <w:r>
        <w:t xml:space="preserve"> purpose of THCE is to have an accurate, timely and actionabl</w:t>
      </w:r>
      <w:r w:rsidR="006253F0">
        <w:t>e</w:t>
      </w:r>
      <w:r>
        <w:t xml:space="preserve"> </w:t>
      </w:r>
      <w:r w:rsidR="00277D14">
        <w:t>measure</w:t>
      </w:r>
      <w:r>
        <w:t xml:space="preserve"> to monitor health care cost growth in Massachusetts and to </w:t>
      </w:r>
      <w:r w:rsidR="0001219A">
        <w:t>identify</w:t>
      </w:r>
      <w:r w:rsidR="00742AE2">
        <w:t xml:space="preserve"> the extent to which </w:t>
      </w:r>
      <w:r>
        <w:t xml:space="preserve">the Commonwealth </w:t>
      </w:r>
      <w:r w:rsidR="00742AE2">
        <w:t>has met</w:t>
      </w:r>
      <w:r>
        <w:t xml:space="preserve"> </w:t>
      </w:r>
      <w:r w:rsidR="00742AE2">
        <w:t xml:space="preserve">its </w:t>
      </w:r>
      <w:r>
        <w:t>cost containment goals. In contrast, SHEA is designed for cross-state comparis</w:t>
      </w:r>
      <w:r w:rsidR="00E2547C">
        <w:t xml:space="preserve">ons. Accordingly, it is essential </w:t>
      </w:r>
      <w:r w:rsidR="0001219A">
        <w:t xml:space="preserve">for SHEA </w:t>
      </w:r>
      <w:r w:rsidR="00E2547C">
        <w:t xml:space="preserve">to have a consistent set of components that utilize the same methodology and data sources for all states over time. </w:t>
      </w:r>
    </w:p>
    <w:p w14:paraId="0F280BA7" w14:textId="77777777" w:rsidR="00FA3E99" w:rsidRDefault="00FC054B" w:rsidP="00AC67D5">
      <w:r w:rsidRPr="00E06BEE">
        <w:t xml:space="preserve">The primary source for THCE is data reported </w:t>
      </w:r>
      <w:r w:rsidR="00881164" w:rsidRPr="00E06BEE">
        <w:t xml:space="preserve">annually </w:t>
      </w:r>
      <w:r w:rsidRPr="00E06BEE">
        <w:t>by private and public payers directly to</w:t>
      </w:r>
      <w:r w:rsidR="00E140E5" w:rsidRPr="00E06BEE">
        <w:t xml:space="preserve"> </w:t>
      </w:r>
      <w:r w:rsidR="00E06BEE" w:rsidRPr="00E06BEE">
        <w:t>CHIA</w:t>
      </w:r>
      <w:r w:rsidR="0048219F">
        <w:t xml:space="preserve">; </w:t>
      </w:r>
      <w:r w:rsidR="00E06BEE" w:rsidRPr="00E06BEE">
        <w:t>SHEA is</w:t>
      </w:r>
      <w:r w:rsidRPr="00E06BEE">
        <w:t xml:space="preserve"> built upon </w:t>
      </w:r>
      <w:r w:rsidR="00953983">
        <w:t xml:space="preserve">the U.S. Census Bureau’s </w:t>
      </w:r>
      <w:proofErr w:type="spellStart"/>
      <w:r w:rsidR="00953983">
        <w:t>quinquennial</w:t>
      </w:r>
      <w:proofErr w:type="spellEnd"/>
      <w:r w:rsidR="00881164" w:rsidRPr="00E06BEE">
        <w:t xml:space="preserve"> </w:t>
      </w:r>
      <w:r w:rsidR="00E140E5" w:rsidRPr="0048219F">
        <w:t xml:space="preserve">Economic </w:t>
      </w:r>
      <w:r w:rsidR="00D61192" w:rsidRPr="0048219F">
        <w:t>Census</w:t>
      </w:r>
      <w:r w:rsidR="00D61192" w:rsidRPr="00E06BEE">
        <w:t xml:space="preserve"> and industry </w:t>
      </w:r>
      <w:r w:rsidRPr="00E06BEE">
        <w:t>sur</w:t>
      </w:r>
      <w:r w:rsidR="00D61192" w:rsidRPr="00E06BEE">
        <w:t>veys</w:t>
      </w:r>
      <w:r w:rsidR="00446D51" w:rsidRPr="00E06BEE">
        <w:t xml:space="preserve">, supplemented by claims and </w:t>
      </w:r>
      <w:r w:rsidR="00730649" w:rsidRPr="00E06BEE">
        <w:t xml:space="preserve">budget </w:t>
      </w:r>
      <w:r w:rsidR="00446D51" w:rsidRPr="00E06BEE">
        <w:t xml:space="preserve">data from public </w:t>
      </w:r>
      <w:r w:rsidR="00953983">
        <w:t>programs</w:t>
      </w:r>
      <w:r w:rsidR="00446D51" w:rsidRPr="00E06BEE">
        <w:t>.</w:t>
      </w:r>
      <w:r w:rsidRPr="00E06BEE">
        <w:t xml:space="preserve"> Both THCE and SHEA measure </w:t>
      </w:r>
      <w:r w:rsidR="00184B81" w:rsidRPr="00E06BEE">
        <w:t>spending for</w:t>
      </w:r>
      <w:r w:rsidR="008A0A76" w:rsidRPr="00E06BEE">
        <w:t xml:space="preserve"> hospital inpatient and outpatient care,</w:t>
      </w:r>
      <w:r w:rsidRPr="00E06BEE">
        <w:t xml:space="preserve"> professional</w:t>
      </w:r>
      <w:r w:rsidR="008A0A76" w:rsidRPr="00E06BEE">
        <w:t>/physician services</w:t>
      </w:r>
      <w:r w:rsidRPr="00E06BEE">
        <w:t xml:space="preserve">, pharmacy, durable medical equipment and </w:t>
      </w:r>
      <w:r w:rsidR="00184B81" w:rsidRPr="00E06BEE">
        <w:t xml:space="preserve">continuing care. </w:t>
      </w:r>
      <w:r w:rsidR="00953983">
        <w:t xml:space="preserve">Distinct from THCE, </w:t>
      </w:r>
      <w:r w:rsidRPr="00E06BEE">
        <w:t xml:space="preserve">SHEA also includes </w:t>
      </w:r>
      <w:r w:rsidR="00446D51" w:rsidRPr="00E06BEE">
        <w:t>spending</w:t>
      </w:r>
      <w:r w:rsidRPr="00E06BEE">
        <w:t xml:space="preserve"> for dental services, vision care and over-the-counter medicines</w:t>
      </w:r>
      <w:r w:rsidR="00953983">
        <w:t>.</w:t>
      </w:r>
      <w:r w:rsidR="008A0A76" w:rsidRPr="00E06BEE">
        <w:t xml:space="preserve"> THCE</w:t>
      </w:r>
      <w:r w:rsidRPr="00E06BEE">
        <w:t xml:space="preserve"> includes the net cost of private health insuranc</w:t>
      </w:r>
      <w:r w:rsidR="00184B81" w:rsidRPr="00E06BEE">
        <w:t>e</w:t>
      </w:r>
      <w:r w:rsidR="00E11A93">
        <w:t xml:space="preserve"> (NCPHI)</w:t>
      </w:r>
      <w:r w:rsidR="00FA3E99">
        <w:t>, which is excluded from SHEA.</w:t>
      </w:r>
    </w:p>
    <w:p w14:paraId="0E53B16E" w14:textId="77777777" w:rsidR="00805E16" w:rsidRDefault="00805E16" w:rsidP="00AC67D5">
      <w:r>
        <w:rPr>
          <w:szCs w:val="24"/>
        </w:rPr>
        <w:t xml:space="preserve">In Massachusetts in </w:t>
      </w:r>
      <w:r w:rsidRPr="00E06BEE">
        <w:rPr>
          <w:szCs w:val="24"/>
        </w:rPr>
        <w:t>2012</w:t>
      </w:r>
      <w:r>
        <w:rPr>
          <w:szCs w:val="24"/>
        </w:rPr>
        <w:t>,</w:t>
      </w:r>
      <w:r w:rsidRPr="00E06BEE">
        <w:rPr>
          <w:szCs w:val="24"/>
        </w:rPr>
        <w:t xml:space="preserve"> THCE per capita </w:t>
      </w:r>
      <w:r>
        <w:rPr>
          <w:szCs w:val="24"/>
        </w:rPr>
        <w:t xml:space="preserve">($7,378) </w:t>
      </w:r>
      <w:r w:rsidRPr="00E06BEE">
        <w:rPr>
          <w:szCs w:val="24"/>
        </w:rPr>
        <w:t xml:space="preserve">was </w:t>
      </w:r>
      <w:r>
        <w:rPr>
          <w:szCs w:val="24"/>
        </w:rPr>
        <w:t>28.3</w:t>
      </w:r>
      <w:r w:rsidRPr="00E06BEE">
        <w:rPr>
          <w:szCs w:val="24"/>
        </w:rPr>
        <w:t xml:space="preserve">% lower than </w:t>
      </w:r>
      <w:r>
        <w:rPr>
          <w:szCs w:val="24"/>
        </w:rPr>
        <w:t xml:space="preserve">the CHIA estimated </w:t>
      </w:r>
      <w:r w:rsidRPr="00E06BEE">
        <w:rPr>
          <w:szCs w:val="24"/>
        </w:rPr>
        <w:t>20</w:t>
      </w:r>
      <w:r>
        <w:rPr>
          <w:szCs w:val="24"/>
        </w:rPr>
        <w:t>12</w:t>
      </w:r>
      <w:r w:rsidRPr="00E06BEE">
        <w:rPr>
          <w:szCs w:val="24"/>
        </w:rPr>
        <w:t xml:space="preserve"> SHEA per capita</w:t>
      </w:r>
      <w:r>
        <w:rPr>
          <w:szCs w:val="24"/>
        </w:rPr>
        <w:t xml:space="preserve"> ($10,283). Excluding NCPHI,</w:t>
      </w:r>
      <w:r w:rsidRPr="00E06BEE">
        <w:rPr>
          <w:szCs w:val="24"/>
        </w:rPr>
        <w:t xml:space="preserve"> 2012 THCE per capita </w:t>
      </w:r>
      <w:r>
        <w:rPr>
          <w:szCs w:val="24"/>
        </w:rPr>
        <w:t xml:space="preserve">($7,073) </w:t>
      </w:r>
      <w:r w:rsidRPr="00E06BEE">
        <w:rPr>
          <w:szCs w:val="24"/>
        </w:rPr>
        <w:t xml:space="preserve">was </w:t>
      </w:r>
      <w:r>
        <w:rPr>
          <w:szCs w:val="24"/>
        </w:rPr>
        <w:t>31.2</w:t>
      </w:r>
      <w:r w:rsidRPr="00E06BEE">
        <w:rPr>
          <w:szCs w:val="24"/>
        </w:rPr>
        <w:t xml:space="preserve">% lower than </w:t>
      </w:r>
      <w:r>
        <w:rPr>
          <w:szCs w:val="24"/>
        </w:rPr>
        <w:t xml:space="preserve">the CHIA estimated </w:t>
      </w:r>
      <w:r w:rsidRPr="00E06BEE">
        <w:rPr>
          <w:szCs w:val="24"/>
        </w:rPr>
        <w:t>20</w:t>
      </w:r>
      <w:r>
        <w:rPr>
          <w:szCs w:val="24"/>
        </w:rPr>
        <w:t>12</w:t>
      </w:r>
      <w:r w:rsidRPr="00E06BEE">
        <w:rPr>
          <w:szCs w:val="24"/>
        </w:rPr>
        <w:t xml:space="preserve"> SHEA per capita. The difference between THCE and SHEA may be explained </w:t>
      </w:r>
      <w:r>
        <w:rPr>
          <w:szCs w:val="24"/>
        </w:rPr>
        <w:t xml:space="preserve">in part </w:t>
      </w:r>
      <w:r w:rsidRPr="00E06BEE">
        <w:rPr>
          <w:szCs w:val="24"/>
        </w:rPr>
        <w:t xml:space="preserve">by </w:t>
      </w:r>
      <w:r>
        <w:rPr>
          <w:szCs w:val="24"/>
        </w:rPr>
        <w:t xml:space="preserve">the absence of </w:t>
      </w:r>
      <w:r w:rsidR="00AB1125">
        <w:rPr>
          <w:szCs w:val="24"/>
        </w:rPr>
        <w:t xml:space="preserve">certain types of services and payers </w:t>
      </w:r>
      <w:r>
        <w:rPr>
          <w:szCs w:val="24"/>
        </w:rPr>
        <w:t>from</w:t>
      </w:r>
      <w:r w:rsidRPr="00E06BEE">
        <w:rPr>
          <w:szCs w:val="24"/>
        </w:rPr>
        <w:t xml:space="preserve"> THCE</w:t>
      </w:r>
      <w:r>
        <w:rPr>
          <w:szCs w:val="24"/>
        </w:rPr>
        <w:t xml:space="preserve"> estimates</w:t>
      </w:r>
      <w:r w:rsidRPr="00E06BEE">
        <w:rPr>
          <w:szCs w:val="24"/>
        </w:rPr>
        <w:t>.</w:t>
      </w:r>
      <w:r w:rsidR="00AB1125" w:rsidRPr="00AB1125">
        <w:t xml:space="preserve"> </w:t>
      </w:r>
      <w:r w:rsidR="00AB1125" w:rsidRPr="00AB1125">
        <w:rPr>
          <w:szCs w:val="24"/>
        </w:rPr>
        <w:t xml:space="preserve">Expenditures from certain third-party payers and programs that are not captured by THCE are estimated to account for 11.04% of the difference </w:t>
      </w:r>
      <w:r w:rsidR="006253F0">
        <w:rPr>
          <w:szCs w:val="24"/>
        </w:rPr>
        <w:t xml:space="preserve">between </w:t>
      </w:r>
      <w:r w:rsidR="00AB1125" w:rsidRPr="00AB1125">
        <w:rPr>
          <w:szCs w:val="24"/>
        </w:rPr>
        <w:t>THCE and SHEA, followed by 9.46% from out-of-pocket payments for over-the-counter medicines and services not cover</w:t>
      </w:r>
      <w:r w:rsidR="00AB1125">
        <w:rPr>
          <w:szCs w:val="24"/>
        </w:rPr>
        <w:t xml:space="preserve">ed by health insurance, </w:t>
      </w:r>
      <w:r w:rsidR="00AB1125" w:rsidRPr="00AB1125">
        <w:rPr>
          <w:szCs w:val="24"/>
        </w:rPr>
        <w:t>and 2.26% from dental insurance. THCE does not include the aforementioned expenditure categories due to lack of data availability.</w:t>
      </w:r>
      <w:r w:rsidR="00AB1125">
        <w:rPr>
          <w:szCs w:val="24"/>
        </w:rPr>
        <w:t xml:space="preserve"> About 8.46% of the difference between THCE and SHEA </w:t>
      </w:r>
      <w:r w:rsidR="004F7B03">
        <w:rPr>
          <w:szCs w:val="24"/>
        </w:rPr>
        <w:t>cannot be itemized</w:t>
      </w:r>
      <w:r w:rsidR="00AB1125">
        <w:rPr>
          <w:szCs w:val="24"/>
        </w:rPr>
        <w:t>.</w:t>
      </w:r>
    </w:p>
    <w:p w14:paraId="3BCA7F6F" w14:textId="77777777" w:rsidR="00401E33" w:rsidRPr="00E06BEE" w:rsidRDefault="00401E33" w:rsidP="00401E33">
      <w:r w:rsidRPr="00E06BEE">
        <w:t xml:space="preserve">THCE is a customized measure </w:t>
      </w:r>
      <w:r w:rsidR="00750DD9">
        <w:t xml:space="preserve">mandated by the Massachusetts Legislature </w:t>
      </w:r>
      <w:r w:rsidRPr="00E06BEE">
        <w:t xml:space="preserve">to monitor health care costs and cost trends in </w:t>
      </w:r>
      <w:r w:rsidR="00750DD9">
        <w:t>the Commonwealth</w:t>
      </w:r>
      <w:r w:rsidRPr="00E06BEE">
        <w:t xml:space="preserve">. </w:t>
      </w:r>
      <w:r w:rsidR="0001219A">
        <w:t>Massachusetts was</w:t>
      </w:r>
      <w:r w:rsidRPr="00E06BEE">
        <w:t xml:space="preserve"> the first in the nation to have a state-specific measure that is </w:t>
      </w:r>
      <w:r w:rsidR="0001219A">
        <w:t xml:space="preserve">compared to a health care cost growth benchmark derived from projections of state economic growth and </w:t>
      </w:r>
      <w:r w:rsidRPr="00E06BEE">
        <w:t>updated</w:t>
      </w:r>
      <w:r w:rsidR="0095194B">
        <w:t xml:space="preserve"> annually</w:t>
      </w:r>
      <w:r w:rsidRPr="00E06BEE">
        <w:t xml:space="preserve">. CHIA will continue to work with the health care community and state and federal agencies to </w:t>
      </w:r>
      <w:r w:rsidR="00FA3E99">
        <w:t xml:space="preserve">enhance the comprehensiveness and timeliness of </w:t>
      </w:r>
      <w:r w:rsidRPr="00E06BEE">
        <w:t xml:space="preserve">THCE. </w:t>
      </w:r>
    </w:p>
    <w:p w14:paraId="6287A12F" w14:textId="77777777" w:rsidR="0094141C" w:rsidRPr="00E06BEE" w:rsidRDefault="0094141C">
      <w:pPr>
        <w:rPr>
          <w:b/>
        </w:rPr>
      </w:pPr>
      <w:r w:rsidRPr="00E06BEE">
        <w:rPr>
          <w:b/>
        </w:rPr>
        <w:lastRenderedPageBreak/>
        <w:t>Introduction</w:t>
      </w:r>
    </w:p>
    <w:p w14:paraId="083F7C71" w14:textId="77777777" w:rsidR="00E97E60" w:rsidRPr="00E06BEE" w:rsidRDefault="00180391">
      <w:r w:rsidRPr="00E06BEE">
        <w:t xml:space="preserve">This technical note </w:t>
      </w:r>
      <w:r w:rsidR="00AB03F2">
        <w:t>describes</w:t>
      </w:r>
      <w:r w:rsidR="00AB03F2" w:rsidRPr="00E06BEE">
        <w:t xml:space="preserve"> </w:t>
      </w:r>
      <w:r w:rsidRPr="00E06BEE">
        <w:t xml:space="preserve">the differences in methodologies and data sources between two distinct measures </w:t>
      </w:r>
      <w:r w:rsidR="00AB03F2">
        <w:t>of</w:t>
      </w:r>
      <w:r w:rsidRPr="00E06BEE">
        <w:t xml:space="preserve"> state-level health care spending: (1) Total Health Care Expenditures (THCE)</w:t>
      </w:r>
      <w:r w:rsidR="00AB03F2">
        <w:t>, as</w:t>
      </w:r>
      <w:r w:rsidRPr="00E06BEE">
        <w:t xml:space="preserve"> statutorily defined by</w:t>
      </w:r>
      <w:r w:rsidR="00AB03F2">
        <w:t xml:space="preserve"> the</w:t>
      </w:r>
      <w:r w:rsidRPr="00E06BEE">
        <w:t xml:space="preserve"> Massachusetts </w:t>
      </w:r>
      <w:r w:rsidR="00990BF5" w:rsidRPr="00E06BEE">
        <w:t>Legislature</w:t>
      </w:r>
      <w:r w:rsidRPr="00E06BEE">
        <w:t xml:space="preserve"> and calculated </w:t>
      </w:r>
      <w:r w:rsidR="00750DD9" w:rsidRPr="00E06BEE">
        <w:rPr>
          <w:i/>
          <w:u w:val="single"/>
        </w:rPr>
        <w:t>annually</w:t>
      </w:r>
      <w:r w:rsidR="00750DD9" w:rsidRPr="00E06BEE">
        <w:t xml:space="preserve"> </w:t>
      </w:r>
      <w:r w:rsidRPr="00E06BEE">
        <w:t>by the Center for Health Information and Analysis (CHIA)</w:t>
      </w:r>
      <w:r w:rsidR="00AB03F2">
        <w:t>;</w:t>
      </w:r>
      <w:r w:rsidRPr="00E06BEE">
        <w:t xml:space="preserve"> and (2) State Health Expenditure Accounts (SHEA) </w:t>
      </w:r>
      <w:r w:rsidR="003A1A9E" w:rsidRPr="00E06BEE">
        <w:t xml:space="preserve">calculated </w:t>
      </w:r>
      <w:r w:rsidR="00750DD9" w:rsidRPr="00750DD9">
        <w:rPr>
          <w:i/>
          <w:u w:val="single"/>
        </w:rPr>
        <w:t>every five years</w:t>
      </w:r>
      <w:r w:rsidR="00750DD9">
        <w:t xml:space="preserve"> </w:t>
      </w:r>
      <w:r w:rsidR="003A1A9E" w:rsidRPr="00E06BEE">
        <w:t>by the Centers for Medicare and Medicaid Services (CMS).</w:t>
      </w:r>
      <w:r w:rsidR="00A557F0" w:rsidRPr="00E06BEE">
        <w:rPr>
          <w:rStyle w:val="FootnoteReference"/>
          <w:szCs w:val="24"/>
        </w:rPr>
        <w:footnoteReference w:id="1"/>
      </w:r>
    </w:p>
    <w:p w14:paraId="0695B1E7" w14:textId="77777777" w:rsidR="003A1A9E" w:rsidRPr="00E06BEE" w:rsidRDefault="003A1A9E" w:rsidP="003A1A9E">
      <w:r w:rsidRPr="00E06BEE">
        <w:t>THCE</w:t>
      </w:r>
      <w:r w:rsidR="002F27EC" w:rsidRPr="00E06BEE">
        <w:t xml:space="preserve"> </w:t>
      </w:r>
      <w:r w:rsidR="00700C90" w:rsidRPr="00E06BEE">
        <w:t>is</w:t>
      </w:r>
      <w:r w:rsidR="002F27EC" w:rsidRPr="00E06BEE">
        <w:t xml:space="preserve"> a measure of total spending for health care in the Commonwealth</w:t>
      </w:r>
      <w:r w:rsidR="00C42017">
        <w:t xml:space="preserve"> of Massachusetts</w:t>
      </w:r>
      <w:r w:rsidR="00E71E5E">
        <w:t xml:space="preserve"> that reflects the total amount paid by or on behalf of Massachusetts residents for health care services</w:t>
      </w:r>
      <w:r w:rsidR="002F27EC" w:rsidRPr="00E06BEE">
        <w:t xml:space="preserve">. </w:t>
      </w:r>
      <w:r w:rsidRPr="00E06BEE">
        <w:t>It</w:t>
      </w:r>
      <w:r w:rsidR="002F27EC" w:rsidRPr="00E06BEE">
        <w:t xml:space="preserve"> includes specific health care expenditures for Massachusetts residents from public and private sources, including: (</w:t>
      </w:r>
      <w:proofErr w:type="spellStart"/>
      <w:r w:rsidR="002F27EC" w:rsidRPr="00E06BEE">
        <w:t>i</w:t>
      </w:r>
      <w:proofErr w:type="spellEnd"/>
      <w:r w:rsidR="002F27EC" w:rsidRPr="00E06BEE">
        <w:t xml:space="preserve">) all categories of medical expenses and all non-claims related payments </w:t>
      </w:r>
      <w:r w:rsidR="00AB03F2">
        <w:t xml:space="preserve">from </w:t>
      </w:r>
      <w:r w:rsidR="006B09D7">
        <w:t xml:space="preserve">insurers </w:t>
      </w:r>
      <w:r w:rsidR="002F27EC" w:rsidRPr="00E06BEE">
        <w:t xml:space="preserve">to providers, as included in the health status adjusted total medical expenses (TME) reported by </w:t>
      </w:r>
      <w:r w:rsidR="00C42017">
        <w:t>CHIA</w:t>
      </w:r>
      <w:r w:rsidR="002F27EC" w:rsidRPr="00E06BEE">
        <w:t>; (ii) all patient cost-sharing amounts, such as deductibles and copayments</w:t>
      </w:r>
      <w:r w:rsidR="00750DD9">
        <w:rPr>
          <w:rStyle w:val="FootnoteReference"/>
        </w:rPr>
        <w:footnoteReference w:id="2"/>
      </w:r>
      <w:r w:rsidR="002F27EC" w:rsidRPr="00E06BEE">
        <w:t>; and (iii) the net cost of private health insurance</w:t>
      </w:r>
      <w:r w:rsidR="001C2353" w:rsidRPr="00E06BEE">
        <w:t xml:space="preserve"> (NCPHI)</w:t>
      </w:r>
      <w:r w:rsidR="002F27EC" w:rsidRPr="00E06BEE">
        <w:t>.</w:t>
      </w:r>
      <w:r w:rsidR="00750DD9">
        <w:rPr>
          <w:rStyle w:val="FootnoteReference"/>
        </w:rPr>
        <w:footnoteReference w:id="3"/>
      </w:r>
    </w:p>
    <w:p w14:paraId="37D69CE5" w14:textId="77777777" w:rsidR="00E97E60" w:rsidRPr="00E06BEE" w:rsidRDefault="003A1A9E" w:rsidP="003A1A9E">
      <w:pPr>
        <w:rPr>
          <w:i/>
        </w:rPr>
      </w:pPr>
      <w:r w:rsidRPr="00E06BEE">
        <w:rPr>
          <w:i/>
        </w:rPr>
        <w:t xml:space="preserve">For more information on </w:t>
      </w:r>
      <w:r w:rsidR="00E716DC">
        <w:rPr>
          <w:i/>
        </w:rPr>
        <w:t xml:space="preserve">the </w:t>
      </w:r>
      <w:r w:rsidR="00E716DC" w:rsidRPr="00E06BEE">
        <w:rPr>
          <w:i/>
        </w:rPr>
        <w:t>methodology</w:t>
      </w:r>
      <w:r w:rsidRPr="00E06BEE">
        <w:rPr>
          <w:i/>
        </w:rPr>
        <w:t xml:space="preserve"> for calculating THCE, please see CHIA’s publication: Massachusetts Total Health Care Expenditure Methodology (December 2013).</w:t>
      </w:r>
      <w:r w:rsidRPr="00E06BEE">
        <w:rPr>
          <w:rStyle w:val="FootnoteReference"/>
          <w:i/>
        </w:rPr>
        <w:footnoteReference w:id="4"/>
      </w:r>
    </w:p>
    <w:p w14:paraId="3F4DDCF3" w14:textId="77777777" w:rsidR="00471E00" w:rsidRPr="00E06BEE" w:rsidRDefault="00700C90" w:rsidP="007C08ED">
      <w:r w:rsidRPr="00E06BEE">
        <w:t>SHEA is</w:t>
      </w:r>
      <w:r w:rsidR="0094141C" w:rsidRPr="00E06BEE">
        <w:t xml:space="preserve"> </w:t>
      </w:r>
      <w:r w:rsidR="00316294" w:rsidRPr="00E06BEE">
        <w:t>a subset</w:t>
      </w:r>
      <w:r w:rsidR="0094141C" w:rsidRPr="00E06BEE">
        <w:t xml:space="preserve"> of the National Health Expenditure Accounts (NHEA), maintained by the National Health Statistics Group in the Office of the Act</w:t>
      </w:r>
      <w:r w:rsidRPr="00E06BEE">
        <w:t xml:space="preserve">uary at CMS. SHEA </w:t>
      </w:r>
      <w:r w:rsidR="00B66681">
        <w:t>estimates are</w:t>
      </w:r>
      <w:r w:rsidR="0094141C" w:rsidRPr="00E06BEE">
        <w:t xml:space="preserve"> developed by type of service and by type of payer, and represent a consistent set of estimates that utilize the same methodology for all 50 states and all</w:t>
      </w:r>
      <w:r w:rsidRPr="00E06BEE">
        <w:t xml:space="preserve"> years</w:t>
      </w:r>
      <w:r w:rsidR="0094141C" w:rsidRPr="00E06BEE">
        <w:t>.</w:t>
      </w:r>
      <w:r w:rsidR="0046530B" w:rsidRPr="00E06BEE">
        <w:rPr>
          <w:rStyle w:val="FootnoteReference"/>
        </w:rPr>
        <w:footnoteReference w:id="5"/>
      </w:r>
      <w:r w:rsidR="0094141C" w:rsidRPr="00E06BEE">
        <w:t xml:space="preserve"> </w:t>
      </w:r>
      <w:r w:rsidRPr="00E06BEE">
        <w:t xml:space="preserve"> </w:t>
      </w:r>
      <w:r w:rsidR="00316294" w:rsidRPr="00E06BEE">
        <w:t>NHEA include</w:t>
      </w:r>
      <w:r w:rsidRPr="00E06BEE">
        <w:t>s</w:t>
      </w:r>
      <w:r w:rsidR="00316294" w:rsidRPr="00E06BEE">
        <w:t xml:space="preserve"> a Personal Health Care component</w:t>
      </w:r>
      <w:r w:rsidR="006A0CFA">
        <w:t>,</w:t>
      </w:r>
      <w:r w:rsidR="00316294" w:rsidRPr="00E06BEE">
        <w:t xml:space="preserve"> defined as </w:t>
      </w:r>
      <w:r w:rsidR="00B66681">
        <w:t xml:space="preserve">“the </w:t>
      </w:r>
      <w:r w:rsidR="00316294" w:rsidRPr="00E06BEE">
        <w:t xml:space="preserve">total </w:t>
      </w:r>
      <w:r w:rsidR="00B66681">
        <w:t xml:space="preserve">amount </w:t>
      </w:r>
      <w:r w:rsidR="00316294" w:rsidRPr="00E06BEE">
        <w:t>spen</w:t>
      </w:r>
      <w:r w:rsidR="00B66681">
        <w:t>t to treat individuals with specific medical conditions</w:t>
      </w:r>
      <w:r w:rsidR="00316294" w:rsidRPr="00E06BEE">
        <w:t>.</w:t>
      </w:r>
      <w:r w:rsidR="00B66681">
        <w:t>”</w:t>
      </w:r>
      <w:r w:rsidR="00316294" w:rsidRPr="00E06BEE">
        <w:rPr>
          <w:rStyle w:val="FootnoteReference"/>
        </w:rPr>
        <w:footnoteReference w:id="6"/>
      </w:r>
      <w:r w:rsidR="00316294" w:rsidRPr="00E06BEE">
        <w:t xml:space="preserve"> SHEA </w:t>
      </w:r>
      <w:r w:rsidR="00B66681">
        <w:t xml:space="preserve">estimates </w:t>
      </w:r>
      <w:r w:rsidR="00316294" w:rsidRPr="00E06BEE">
        <w:t>represent the</w:t>
      </w:r>
      <w:r w:rsidR="00B66681">
        <w:t xml:space="preserve"> amount of</w:t>
      </w:r>
      <w:r w:rsidR="00316294" w:rsidRPr="00E06BEE">
        <w:t xml:space="preserve"> </w:t>
      </w:r>
      <w:r w:rsidRPr="00E06BEE">
        <w:t xml:space="preserve">health care spending </w:t>
      </w:r>
      <w:r w:rsidR="00B66681">
        <w:t>from</w:t>
      </w:r>
      <w:r w:rsidRPr="00E06BEE">
        <w:t xml:space="preserve"> the</w:t>
      </w:r>
      <w:r w:rsidR="00A454D8" w:rsidRPr="00E06BEE">
        <w:t xml:space="preserve"> </w:t>
      </w:r>
      <w:r w:rsidR="00B66681">
        <w:t xml:space="preserve">NHEA </w:t>
      </w:r>
      <w:r w:rsidR="00316294" w:rsidRPr="00E06BEE">
        <w:t xml:space="preserve">Personal Health Care </w:t>
      </w:r>
      <w:r w:rsidR="00421077" w:rsidRPr="00E06BEE">
        <w:t>component attributed</w:t>
      </w:r>
      <w:r w:rsidR="00B66681">
        <w:t xml:space="preserve"> to </w:t>
      </w:r>
      <w:r w:rsidR="00316294" w:rsidRPr="00E06BEE">
        <w:t>each state</w:t>
      </w:r>
      <w:r w:rsidR="00D97048" w:rsidRPr="00E06BEE">
        <w:t>.</w:t>
      </w:r>
      <w:r w:rsidR="00DD65E5" w:rsidRPr="00E06BEE">
        <w:t xml:space="preserve"> </w:t>
      </w:r>
      <w:r w:rsidR="00B00844">
        <w:t xml:space="preserve">There are two types of SHEA: (1) by state of provider and (2) by state of residence. SHEA by state of provider </w:t>
      </w:r>
      <w:r w:rsidR="00E71E5E">
        <w:t>includes</w:t>
      </w:r>
      <w:r w:rsidR="00B00844">
        <w:t xml:space="preserve"> spending estimates for each state based on total revenues received by health care providers in a state for </w:t>
      </w:r>
      <w:r w:rsidR="00E716DC">
        <w:t>delivering health</w:t>
      </w:r>
      <w:r w:rsidR="00B00844">
        <w:t xml:space="preserve"> care goods and services to both residents and non-residents. SHEA by state of residence provide</w:t>
      </w:r>
      <w:r w:rsidR="00E71E5E">
        <w:t>s</w:t>
      </w:r>
      <w:r w:rsidR="00B00844">
        <w:t xml:space="preserve"> spending estimates for all health care </w:t>
      </w:r>
      <w:r w:rsidR="00B00844">
        <w:lastRenderedPageBreak/>
        <w:t>expenditures made by, or on behalf of, the residents of a state, regardless of whether the care is provided in-state or out-of-state.</w:t>
      </w:r>
      <w:r w:rsidR="00B00844" w:rsidRPr="007C08ED">
        <w:t xml:space="preserve"> </w:t>
      </w:r>
      <w:r w:rsidR="009D58F3" w:rsidRPr="00E06BEE">
        <w:t xml:space="preserve">SHEA </w:t>
      </w:r>
      <w:r w:rsidR="00AD16EC">
        <w:t xml:space="preserve">estimates of spending by </w:t>
      </w:r>
      <w:r w:rsidRPr="00E06BEE">
        <w:t xml:space="preserve">state of residence </w:t>
      </w:r>
      <w:r w:rsidR="00B66681">
        <w:t xml:space="preserve">are used for </w:t>
      </w:r>
      <w:r w:rsidR="009D58F3" w:rsidRPr="00E06BEE">
        <w:t xml:space="preserve">comparisons of per capita spending </w:t>
      </w:r>
      <w:r w:rsidR="00B66681">
        <w:t>across</w:t>
      </w:r>
      <w:r w:rsidR="00B66681" w:rsidRPr="00E06BEE">
        <w:t xml:space="preserve"> </w:t>
      </w:r>
      <w:r w:rsidR="009D58F3" w:rsidRPr="00E06BEE">
        <w:t>states.</w:t>
      </w:r>
    </w:p>
    <w:p w14:paraId="2922355D" w14:textId="77777777" w:rsidR="003A1A9E" w:rsidRPr="00E06BEE" w:rsidRDefault="00711992" w:rsidP="0094141C">
      <w:r w:rsidRPr="00E06BEE">
        <w:t xml:space="preserve">This technical note </w:t>
      </w:r>
      <w:r w:rsidR="00E71E5E">
        <w:t>discusse</w:t>
      </w:r>
      <w:r w:rsidR="00D27346">
        <w:t>s</w:t>
      </w:r>
      <w:r w:rsidR="00E71E5E">
        <w:t xml:space="preserve"> </w:t>
      </w:r>
      <w:r w:rsidRPr="00E06BEE">
        <w:t>THCE and SHEA by state of residence since THCE measures total spending of Massachusetts residents.</w:t>
      </w:r>
    </w:p>
    <w:p w14:paraId="2065F785" w14:textId="77777777" w:rsidR="00401E33" w:rsidRPr="00E06BEE" w:rsidRDefault="00401E33" w:rsidP="0094141C"/>
    <w:p w14:paraId="02D56EC7" w14:textId="77777777" w:rsidR="0088798B" w:rsidRPr="00E06BEE" w:rsidRDefault="009C42E9" w:rsidP="0094141C">
      <w:pPr>
        <w:rPr>
          <w:b/>
        </w:rPr>
      </w:pPr>
      <w:r w:rsidRPr="00E06BEE">
        <w:rPr>
          <w:b/>
        </w:rPr>
        <w:t>Difference</w:t>
      </w:r>
      <w:r w:rsidR="0088798B" w:rsidRPr="00E06BEE">
        <w:rPr>
          <w:b/>
        </w:rPr>
        <w:t xml:space="preserve"> in Type</w:t>
      </w:r>
      <w:r w:rsidRPr="00E06BEE">
        <w:rPr>
          <w:b/>
        </w:rPr>
        <w:t>s</w:t>
      </w:r>
      <w:r w:rsidR="0088798B" w:rsidRPr="00E06BEE">
        <w:rPr>
          <w:b/>
        </w:rPr>
        <w:t xml:space="preserve"> of Payer</w:t>
      </w:r>
      <w:r w:rsidRPr="00E06BEE">
        <w:rPr>
          <w:b/>
        </w:rPr>
        <w:t>s</w:t>
      </w:r>
    </w:p>
    <w:p w14:paraId="51078A61" w14:textId="77777777" w:rsidR="003A1A9E" w:rsidRPr="00E06BEE" w:rsidRDefault="00990BF5" w:rsidP="001C2353">
      <w:r w:rsidRPr="00E06BEE">
        <w:t>THCE include</w:t>
      </w:r>
      <w:r w:rsidR="00700C90" w:rsidRPr="00E06BEE">
        <w:t>s</w:t>
      </w:r>
      <w:r w:rsidRPr="00E06BEE">
        <w:t xml:space="preserve"> </w:t>
      </w:r>
      <w:r w:rsidR="001C2353" w:rsidRPr="00E06BEE">
        <w:t xml:space="preserve">spending </w:t>
      </w:r>
      <w:r w:rsidR="00DC11A1">
        <w:t>by</w:t>
      </w:r>
      <w:r w:rsidR="00DC11A1" w:rsidRPr="00E06BEE">
        <w:t xml:space="preserve"> </w:t>
      </w:r>
      <w:r w:rsidR="001C2353" w:rsidRPr="00E06BEE">
        <w:t xml:space="preserve">commercial </w:t>
      </w:r>
      <w:r w:rsidR="00750DD9">
        <w:t>payers</w:t>
      </w:r>
      <w:r w:rsidR="00405FF2" w:rsidRPr="00E06BEE">
        <w:t xml:space="preserve"> </w:t>
      </w:r>
      <w:r w:rsidR="001C2353" w:rsidRPr="00E06BEE">
        <w:t>(including both self-insured and fully-insured</w:t>
      </w:r>
      <w:r w:rsidR="00405FF2">
        <w:t xml:space="preserve"> business</w:t>
      </w:r>
      <w:r w:rsidR="001C2353" w:rsidRPr="00E06BEE">
        <w:t>), Medicare, M</w:t>
      </w:r>
      <w:r w:rsidR="00012EEF" w:rsidRPr="00E06BEE">
        <w:t>assHealth</w:t>
      </w:r>
      <w:r w:rsidR="00421077">
        <w:t>,</w:t>
      </w:r>
      <w:r w:rsidR="00421077">
        <w:rPr>
          <w:rStyle w:val="FootnoteReference"/>
        </w:rPr>
        <w:footnoteReference w:id="7"/>
      </w:r>
      <w:r w:rsidR="0096183E" w:rsidRPr="00E06BEE">
        <w:t xml:space="preserve"> </w:t>
      </w:r>
      <w:r w:rsidR="001C2353" w:rsidRPr="00E06BEE">
        <w:t>patient liabilities for covered services (e.g. deductibles, coinsurance, and copayments), other federal and state spending on health care services, and the administrative costs of commercial insurance (i.e.</w:t>
      </w:r>
      <w:r w:rsidR="00DC11A1">
        <w:t>,</w:t>
      </w:r>
      <w:r w:rsidR="001C2353" w:rsidRPr="00E06BEE">
        <w:t xml:space="preserve"> NCPHI). THCE do</w:t>
      </w:r>
      <w:r w:rsidR="00700C90" w:rsidRPr="00E06BEE">
        <w:t>es</w:t>
      </w:r>
      <w:r w:rsidR="001C2353" w:rsidRPr="00E06BEE">
        <w:t xml:space="preserve"> not include a variety of other health care expenditures that are </w:t>
      </w:r>
      <w:r w:rsidR="00DC11A1">
        <w:t>typically</w:t>
      </w:r>
      <w:r w:rsidR="001C2353" w:rsidRPr="00E06BEE">
        <w:t xml:space="preserve"> paid directly by consumers, including expendi</w:t>
      </w:r>
      <w:r w:rsidR="002E16F3">
        <w:t>tures on over-the-counter drugs</w:t>
      </w:r>
      <w:r w:rsidR="001C2353" w:rsidRPr="00E06BEE">
        <w:t xml:space="preserve"> </w:t>
      </w:r>
      <w:r w:rsidR="006253F0">
        <w:t xml:space="preserve">and </w:t>
      </w:r>
      <w:r w:rsidR="001C2353" w:rsidRPr="00E06BEE">
        <w:t>spending</w:t>
      </w:r>
      <w:r w:rsidR="00DB6404" w:rsidRPr="00E06BEE">
        <w:t xml:space="preserve"> for services not covered by </w:t>
      </w:r>
      <w:r w:rsidR="001C2353" w:rsidRPr="00E06BEE">
        <w:t>health insurance (e.g.</w:t>
      </w:r>
      <w:r w:rsidR="00DC11A1">
        <w:t>,</w:t>
      </w:r>
      <w:r w:rsidR="001C2353" w:rsidRPr="00E06BEE">
        <w:t xml:space="preserve"> cosmetic surgeries</w:t>
      </w:r>
      <w:r w:rsidR="002E16F3">
        <w:t>)</w:t>
      </w:r>
      <w:r w:rsidR="001C2353" w:rsidRPr="00E06BEE">
        <w:t>.</w:t>
      </w:r>
      <w:r w:rsidR="001C2353" w:rsidRPr="00E06BEE">
        <w:rPr>
          <w:rStyle w:val="FootnoteReference"/>
        </w:rPr>
        <w:footnoteReference w:id="8"/>
      </w:r>
    </w:p>
    <w:p w14:paraId="29548D06" w14:textId="77777777" w:rsidR="00B11584" w:rsidRDefault="00B11584" w:rsidP="001C2353">
      <w:r w:rsidRPr="00E06BEE">
        <w:t xml:space="preserve">SHEA </w:t>
      </w:r>
      <w:r w:rsidR="00851A03" w:rsidRPr="00E06BEE">
        <w:t>i</w:t>
      </w:r>
      <w:r w:rsidRPr="00E06BEE">
        <w:t>nclude</w:t>
      </w:r>
      <w:r w:rsidR="00700C90" w:rsidRPr="00E06BEE">
        <w:t>s</w:t>
      </w:r>
      <w:r w:rsidRPr="00E06BEE">
        <w:t xml:space="preserve"> </w:t>
      </w:r>
      <w:r w:rsidR="00DC11A1">
        <w:t>spending</w:t>
      </w:r>
      <w:r w:rsidR="00DC11A1" w:rsidRPr="00E06BEE">
        <w:t xml:space="preserve"> </w:t>
      </w:r>
      <w:r w:rsidR="00DC11A1">
        <w:t>by</w:t>
      </w:r>
      <w:r w:rsidR="00DC11A1" w:rsidRPr="00E06BEE">
        <w:t xml:space="preserve"> </w:t>
      </w:r>
      <w:r w:rsidRPr="00E06BEE">
        <w:t xml:space="preserve">commercial </w:t>
      </w:r>
      <w:r w:rsidR="00DC11A1">
        <w:t>insurers</w:t>
      </w:r>
      <w:r w:rsidRPr="00E06BEE">
        <w:t xml:space="preserve">, Medicare and Medicaid, </w:t>
      </w:r>
      <w:r w:rsidR="00851A03" w:rsidRPr="00E06BEE">
        <w:t>and</w:t>
      </w:r>
      <w:r w:rsidRPr="00E06BEE">
        <w:t xml:space="preserve"> </w:t>
      </w:r>
      <w:r w:rsidR="00851A03" w:rsidRPr="00EA2670">
        <w:t>all other payers</w:t>
      </w:r>
      <w:r w:rsidRPr="00EA2670">
        <w:t xml:space="preserve"> (including </w:t>
      </w:r>
      <w:r w:rsidR="00EA2670">
        <w:t xml:space="preserve">individuals’ </w:t>
      </w:r>
      <w:r w:rsidRPr="00EA2670">
        <w:t>out-of-pocket payments, the uninsured, and other federal, state, and local programs).</w:t>
      </w:r>
      <w:r w:rsidRPr="00E06BEE">
        <w:t xml:space="preserve"> </w:t>
      </w:r>
      <w:r w:rsidR="005F4D21">
        <w:t>Initially, t</w:t>
      </w:r>
      <w:r w:rsidRPr="00E06BEE">
        <w:t xml:space="preserve">hese calculations are based on the state </w:t>
      </w:r>
      <w:r w:rsidR="005F4D21">
        <w:t xml:space="preserve">where the </w:t>
      </w:r>
      <w:r w:rsidRPr="00E06BEE">
        <w:t>provider</w:t>
      </w:r>
      <w:r w:rsidR="005F4D21">
        <w:t xml:space="preserve"> is located,</w:t>
      </w:r>
      <w:r w:rsidRPr="00E06BEE">
        <w:t xml:space="preserve"> and are then converted to </w:t>
      </w:r>
      <w:r w:rsidR="005F4D21">
        <w:t>reflect consumers’</w:t>
      </w:r>
      <w:r w:rsidRPr="00E06BEE">
        <w:t xml:space="preserve"> state</w:t>
      </w:r>
      <w:r w:rsidR="00EA2670">
        <w:t>s</w:t>
      </w:r>
      <w:r w:rsidRPr="00E06BEE">
        <w:t xml:space="preserve"> of residence. </w:t>
      </w:r>
      <w:r w:rsidR="00F323D1" w:rsidRPr="00E06BEE">
        <w:t xml:space="preserve">In order to convert provider-based spending estimates to </w:t>
      </w:r>
      <w:r w:rsidR="005F4D21">
        <w:t>state</w:t>
      </w:r>
      <w:r w:rsidR="00EA2670">
        <w:t>-</w:t>
      </w:r>
      <w:r w:rsidR="005F4D21">
        <w:t>of</w:t>
      </w:r>
      <w:r w:rsidR="00EA2670">
        <w:t>-</w:t>
      </w:r>
      <w:r w:rsidR="00F323D1" w:rsidRPr="00E06BEE">
        <w:t>residence</w:t>
      </w:r>
      <w:r w:rsidR="005F4D21">
        <w:t xml:space="preserve"> estimates</w:t>
      </w:r>
      <w:r w:rsidR="00F323D1" w:rsidRPr="00E06BEE">
        <w:t xml:space="preserve">, adjustments are made to account for the interstate flows of </w:t>
      </w:r>
      <w:r w:rsidR="00CA6EF5">
        <w:t>s</w:t>
      </w:r>
      <w:r w:rsidR="005F4D21">
        <w:t>pending</w:t>
      </w:r>
      <w:r w:rsidR="00F323D1" w:rsidRPr="00E06BEE">
        <w:t xml:space="preserve"> between the location of the provider and the residence </w:t>
      </w:r>
      <w:r w:rsidR="00EA2670" w:rsidRPr="00EA2670">
        <w:t xml:space="preserve">of </w:t>
      </w:r>
      <w:r w:rsidR="00CA6EF5">
        <w:t>patients</w:t>
      </w:r>
      <w:r w:rsidR="00F323D1" w:rsidRPr="00EA2670">
        <w:t xml:space="preserve">. </w:t>
      </w:r>
      <w:r w:rsidRPr="00EA2670">
        <w:t xml:space="preserve">This conversion is based on reported patterns </w:t>
      </w:r>
      <w:r w:rsidR="00EA2670" w:rsidRPr="00EA2670">
        <w:t xml:space="preserve">of spending for </w:t>
      </w:r>
      <w:r w:rsidR="00F323D1" w:rsidRPr="00EA2670">
        <w:t>Medicare beneficiaries</w:t>
      </w:r>
      <w:r w:rsidR="00EA2670" w:rsidRPr="00EA2670">
        <w:t>, with adjustments made for other payer types to account for differences in services used by</w:t>
      </w:r>
      <w:r w:rsidR="00D97048" w:rsidRPr="00EA2670">
        <w:t xml:space="preserve"> </w:t>
      </w:r>
      <w:r w:rsidR="00EA2670" w:rsidRPr="00EA2670">
        <w:t>non-Medicare populations</w:t>
      </w:r>
      <w:r w:rsidRPr="00EA2670">
        <w:t>.</w:t>
      </w:r>
      <w:r w:rsidR="00F323D1" w:rsidRPr="00EA2670">
        <w:rPr>
          <w:rStyle w:val="FootnoteReference"/>
        </w:rPr>
        <w:footnoteReference w:id="9"/>
      </w:r>
      <w:r w:rsidRPr="00EA2670">
        <w:t xml:space="preserve"> </w:t>
      </w:r>
      <w:r w:rsidR="00EA2670" w:rsidRPr="00EA2670">
        <w:t xml:space="preserve"> </w:t>
      </w:r>
      <w:r w:rsidRPr="00EA2670">
        <w:t>Medicaid expend</w:t>
      </w:r>
      <w:r w:rsidR="00D97048" w:rsidRPr="00EA2670">
        <w:t>itures</w:t>
      </w:r>
      <w:r w:rsidR="00EA2670" w:rsidRPr="00EA2670">
        <w:t>,</w:t>
      </w:r>
      <w:r w:rsidR="00EA2670">
        <w:t xml:space="preserve"> which are </w:t>
      </w:r>
      <w:r w:rsidR="00CA6EF5">
        <w:t>reported</w:t>
      </w:r>
      <w:r w:rsidRPr="00E06BEE">
        <w:t xml:space="preserve"> by state </w:t>
      </w:r>
      <w:r w:rsidR="00F323D1" w:rsidRPr="00E06BEE">
        <w:t xml:space="preserve">Medicaid </w:t>
      </w:r>
      <w:r w:rsidRPr="00E06BEE">
        <w:t>agencies to CMS</w:t>
      </w:r>
      <w:r w:rsidR="00EA2670">
        <w:t>, are not adjusted</w:t>
      </w:r>
      <w:r w:rsidR="006253F0">
        <w:t>,</w:t>
      </w:r>
      <w:r w:rsidR="00EA2670">
        <w:t xml:space="preserve"> although states may pay small amounts for out-of-state services obtained by Medicaid enrollees</w:t>
      </w:r>
      <w:r w:rsidR="006253F0">
        <w:t>;</w:t>
      </w:r>
      <w:r w:rsidR="00EA2670">
        <w:t xml:space="preserve"> </w:t>
      </w:r>
      <w:r w:rsidR="00CA6EF5">
        <w:t>however</w:t>
      </w:r>
      <w:r w:rsidR="006253F0">
        <w:t>,</w:t>
      </w:r>
      <w:r w:rsidR="00CA6EF5">
        <w:t xml:space="preserve"> </w:t>
      </w:r>
      <w:r w:rsidR="00EA2670">
        <w:t>this represents a n</w:t>
      </w:r>
      <w:r w:rsidR="00CA6EF5">
        <w:t>ominal</w:t>
      </w:r>
      <w:r w:rsidR="00EA2670">
        <w:t xml:space="preserve"> amount of total Medicaid spending</w:t>
      </w:r>
      <w:r w:rsidRPr="00E06BEE">
        <w:t>.</w:t>
      </w:r>
    </w:p>
    <w:p w14:paraId="2BB2EB3C" w14:textId="77777777" w:rsidR="002E16F3" w:rsidRDefault="002E16F3" w:rsidP="001C2353">
      <w:r>
        <w:t>THCE and SHEA both cover expenditures as well as patient cost</w:t>
      </w:r>
      <w:r w:rsidR="006253F0">
        <w:t>-</w:t>
      </w:r>
      <w:r>
        <w:t>sharing amounts from commercial payers, Medicare, and Medicaid. However, SHEA does not include the spending information of NCPHI</w:t>
      </w:r>
      <w:r w:rsidR="00C45AF3">
        <w:t>, while THCE does not include the spending information for services not covered by health insurance, and other public and private revenues. Please see Table 1 for detailed comparisons.</w:t>
      </w:r>
    </w:p>
    <w:p w14:paraId="09F71E4A" w14:textId="77777777" w:rsidR="00B00844" w:rsidRDefault="00B00844" w:rsidP="001C2353"/>
    <w:p w14:paraId="6851A6EA" w14:textId="77777777" w:rsidR="006A5CC8" w:rsidRPr="00E06BEE" w:rsidRDefault="006A5CC8" w:rsidP="001C2353"/>
    <w:p w14:paraId="1F7D5B64" w14:textId="77777777" w:rsidR="0096183E" w:rsidRPr="00E06BEE" w:rsidRDefault="0096183E" w:rsidP="00A557F0">
      <w:pPr>
        <w:spacing w:after="0"/>
        <w:rPr>
          <w:rFonts w:eastAsia="Calibri" w:cs="Times New Roman"/>
          <w:b/>
        </w:rPr>
      </w:pPr>
      <w:r w:rsidRPr="00E06BEE">
        <w:rPr>
          <w:rFonts w:eastAsia="Calibri" w:cs="Times New Roman"/>
          <w:b/>
        </w:rPr>
        <w:lastRenderedPageBreak/>
        <w:t xml:space="preserve">Table </w:t>
      </w:r>
      <w:r w:rsidR="00A30975" w:rsidRPr="00E06BEE">
        <w:rPr>
          <w:rFonts w:eastAsia="Calibri" w:cs="Times New Roman"/>
          <w:b/>
        </w:rPr>
        <w:t>1</w:t>
      </w:r>
      <w:r w:rsidR="009C42E9" w:rsidRPr="00E06BEE">
        <w:rPr>
          <w:rFonts w:eastAsia="Calibri" w:cs="Times New Roman"/>
          <w:b/>
        </w:rPr>
        <w:t xml:space="preserve">. Comparison of </w:t>
      </w:r>
      <w:r w:rsidRPr="00E06BEE">
        <w:rPr>
          <w:rFonts w:eastAsia="Calibri" w:cs="Times New Roman"/>
          <w:b/>
        </w:rPr>
        <w:t>Payer Type</w:t>
      </w:r>
      <w:r w:rsidR="00955CE9" w:rsidRPr="00E06BEE">
        <w:rPr>
          <w:rFonts w:eastAsia="Calibri" w:cs="Times New Roman"/>
          <w:b/>
        </w:rPr>
        <w:t>s and Data Sources</w:t>
      </w:r>
    </w:p>
    <w:tbl>
      <w:tblPr>
        <w:tblStyle w:val="LightList-Accent1"/>
        <w:tblW w:w="5000" w:type="pct"/>
        <w:tblLook w:val="00A0" w:firstRow="1" w:lastRow="0" w:firstColumn="1" w:lastColumn="0" w:noHBand="0" w:noVBand="0"/>
      </w:tblPr>
      <w:tblGrid>
        <w:gridCol w:w="3079"/>
        <w:gridCol w:w="3249"/>
        <w:gridCol w:w="3248"/>
      </w:tblGrid>
      <w:tr w:rsidR="00B11584" w:rsidRPr="00A557F0" w14:paraId="1658ECA5" w14:textId="77777777" w:rsidTr="00B00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pct"/>
          </w:tcPr>
          <w:p w14:paraId="2727D2E3" w14:textId="77777777" w:rsidR="00B11584" w:rsidRPr="00A557F0" w:rsidRDefault="00B11584" w:rsidP="00A557F0">
            <w:pPr>
              <w:spacing w:line="276" w:lineRule="auto"/>
              <w:jc w:val="center"/>
              <w:rPr>
                <w:rFonts w:eastAsia="Times New Roman" w:cs="Times New Roman"/>
                <w:bCs w:val="0"/>
                <w:sz w:val="20"/>
                <w:szCs w:val="20"/>
              </w:rPr>
            </w:pPr>
            <w:r w:rsidRPr="00A557F0">
              <w:rPr>
                <w:rFonts w:eastAsia="Times New Roman" w:cs="Times New Roman"/>
                <w:bCs w:val="0"/>
                <w:sz w:val="20"/>
                <w:szCs w:val="20"/>
              </w:rPr>
              <w:t>Payer Type</w:t>
            </w:r>
          </w:p>
        </w:tc>
        <w:tc>
          <w:tcPr>
            <w:cnfStyle w:val="000010000000" w:firstRow="0" w:lastRow="0" w:firstColumn="0" w:lastColumn="0" w:oddVBand="1" w:evenVBand="0" w:oddHBand="0" w:evenHBand="0" w:firstRowFirstColumn="0" w:firstRowLastColumn="0" w:lastRowFirstColumn="0" w:lastRowLastColumn="0"/>
            <w:tcW w:w="1696" w:type="pct"/>
          </w:tcPr>
          <w:p w14:paraId="3DD213D9" w14:textId="77777777" w:rsidR="00B11584" w:rsidRPr="00A557F0" w:rsidRDefault="00B11584" w:rsidP="00A557F0">
            <w:pPr>
              <w:spacing w:line="276" w:lineRule="auto"/>
              <w:jc w:val="center"/>
              <w:rPr>
                <w:sz w:val="20"/>
                <w:szCs w:val="20"/>
              </w:rPr>
            </w:pPr>
            <w:r w:rsidRPr="00A557F0">
              <w:rPr>
                <w:rFonts w:eastAsia="Times New Roman" w:cs="Times New Roman"/>
                <w:sz w:val="20"/>
                <w:szCs w:val="20"/>
              </w:rPr>
              <w:t>T</w:t>
            </w:r>
            <w:r w:rsidRPr="00A557F0">
              <w:rPr>
                <w:sz w:val="20"/>
                <w:szCs w:val="20"/>
              </w:rPr>
              <w:t>HCE</w:t>
            </w:r>
          </w:p>
          <w:p w14:paraId="3F504D50" w14:textId="77777777" w:rsidR="000025BF" w:rsidRPr="00A557F0" w:rsidRDefault="000025BF" w:rsidP="00A557F0">
            <w:pPr>
              <w:spacing w:line="276" w:lineRule="auto"/>
              <w:jc w:val="center"/>
              <w:rPr>
                <w:rFonts w:eastAsia="Times New Roman" w:cs="Times New Roman"/>
                <w:b w:val="0"/>
                <w:bCs w:val="0"/>
                <w:sz w:val="20"/>
                <w:szCs w:val="20"/>
              </w:rPr>
            </w:pPr>
            <w:r w:rsidRPr="00A557F0">
              <w:rPr>
                <w:sz w:val="18"/>
                <w:szCs w:val="20"/>
              </w:rPr>
              <w:t>(published annually by CHIA)</w:t>
            </w:r>
          </w:p>
        </w:tc>
        <w:tc>
          <w:tcPr>
            <w:tcW w:w="1696" w:type="pct"/>
          </w:tcPr>
          <w:p w14:paraId="06B2DBF8" w14:textId="77777777" w:rsidR="00B11584" w:rsidRPr="00A557F0" w:rsidRDefault="00B11584" w:rsidP="00A557F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A557F0">
              <w:rPr>
                <w:rFonts w:eastAsia="Times New Roman" w:cs="Times New Roman"/>
                <w:sz w:val="20"/>
                <w:szCs w:val="20"/>
              </w:rPr>
              <w:t>SHEA</w:t>
            </w:r>
          </w:p>
          <w:p w14:paraId="16AD6DC5" w14:textId="77777777" w:rsidR="000025BF" w:rsidRPr="00A557F0" w:rsidRDefault="000025BF" w:rsidP="00A557F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0"/>
                <w:szCs w:val="20"/>
              </w:rPr>
            </w:pPr>
            <w:r w:rsidRPr="00A557F0">
              <w:rPr>
                <w:rFonts w:eastAsia="Times New Roman" w:cs="Times New Roman"/>
                <w:sz w:val="18"/>
                <w:szCs w:val="20"/>
              </w:rPr>
              <w:t>(published every 5 years by CMS)</w:t>
            </w:r>
          </w:p>
        </w:tc>
      </w:tr>
      <w:tr w:rsidR="00B11584" w:rsidRPr="00A557F0" w14:paraId="1B44DEAD" w14:textId="77777777" w:rsidTr="00B0084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07" w:type="pct"/>
            <w:vAlign w:val="center"/>
          </w:tcPr>
          <w:p w14:paraId="6C7B33C1" w14:textId="77777777" w:rsidR="00B11584" w:rsidRPr="00A557F0" w:rsidRDefault="00B11584" w:rsidP="00A557F0">
            <w:pPr>
              <w:spacing w:line="276" w:lineRule="auto"/>
              <w:jc w:val="center"/>
              <w:rPr>
                <w:rFonts w:eastAsia="Times New Roman" w:cs="Times New Roman"/>
                <w:b w:val="0"/>
                <w:bCs w:val="0"/>
                <w:color w:val="000000"/>
                <w:sz w:val="20"/>
                <w:szCs w:val="20"/>
              </w:rPr>
            </w:pPr>
            <w:r w:rsidRPr="00A557F0">
              <w:rPr>
                <w:color w:val="000000"/>
                <w:sz w:val="20"/>
                <w:szCs w:val="20"/>
              </w:rPr>
              <w:t>Medicaid and CHIP</w:t>
            </w:r>
          </w:p>
        </w:tc>
        <w:tc>
          <w:tcPr>
            <w:cnfStyle w:val="000010000000" w:firstRow="0" w:lastRow="0" w:firstColumn="0" w:lastColumn="0" w:oddVBand="1" w:evenVBand="0" w:oddHBand="0" w:evenHBand="0" w:firstRowFirstColumn="0" w:firstRowLastColumn="0" w:lastRowFirstColumn="0" w:lastRowLastColumn="0"/>
            <w:tcW w:w="1696" w:type="pct"/>
            <w:vAlign w:val="center"/>
          </w:tcPr>
          <w:p w14:paraId="4D7D6DB2" w14:textId="77777777" w:rsidR="00B11584" w:rsidRPr="00A557F0" w:rsidRDefault="00B11584" w:rsidP="00A557F0">
            <w:pPr>
              <w:spacing w:line="276" w:lineRule="auto"/>
              <w:jc w:val="center"/>
              <w:rPr>
                <w:rFonts w:eastAsia="Calibri" w:cs="Times New Roman"/>
                <w:sz w:val="20"/>
                <w:szCs w:val="20"/>
              </w:rPr>
            </w:pPr>
            <w:r w:rsidRPr="00A557F0">
              <w:rPr>
                <w:sz w:val="20"/>
                <w:szCs w:val="20"/>
              </w:rPr>
              <w:t>Provided by MassHealth</w:t>
            </w:r>
          </w:p>
        </w:tc>
        <w:tc>
          <w:tcPr>
            <w:tcW w:w="1696" w:type="pct"/>
            <w:vMerge w:val="restart"/>
            <w:vAlign w:val="center"/>
          </w:tcPr>
          <w:p w14:paraId="5FE625CC" w14:textId="77777777" w:rsidR="00B11584" w:rsidRPr="00A557F0" w:rsidRDefault="00B11584" w:rsidP="00A557F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A557F0">
              <w:rPr>
                <w:sz w:val="20"/>
                <w:szCs w:val="20"/>
              </w:rPr>
              <w:t>CMS-64 forms that are filed by the State Medicaid Agencies to CMS</w:t>
            </w:r>
          </w:p>
        </w:tc>
      </w:tr>
      <w:tr w:rsidR="00B11584" w:rsidRPr="00A557F0" w14:paraId="10C5CF93" w14:textId="77777777" w:rsidTr="00B00844">
        <w:tc>
          <w:tcPr>
            <w:cnfStyle w:val="001000000000" w:firstRow="0" w:lastRow="0" w:firstColumn="1" w:lastColumn="0" w:oddVBand="0" w:evenVBand="0" w:oddHBand="0" w:evenHBand="0" w:firstRowFirstColumn="0" w:firstRowLastColumn="0" w:lastRowFirstColumn="0" w:lastRowLastColumn="0"/>
            <w:tcW w:w="1607" w:type="pct"/>
            <w:vAlign w:val="center"/>
          </w:tcPr>
          <w:p w14:paraId="3C1F44FA" w14:textId="77777777" w:rsidR="00B11584" w:rsidRPr="00A557F0" w:rsidRDefault="00B11584" w:rsidP="00A557F0">
            <w:pPr>
              <w:spacing w:line="276" w:lineRule="auto"/>
              <w:jc w:val="center"/>
              <w:rPr>
                <w:rFonts w:eastAsia="Times New Roman" w:cs="Times New Roman"/>
                <w:b w:val="0"/>
                <w:bCs w:val="0"/>
                <w:color w:val="000000"/>
                <w:sz w:val="20"/>
                <w:szCs w:val="20"/>
              </w:rPr>
            </w:pPr>
            <w:r w:rsidRPr="00A557F0">
              <w:rPr>
                <w:rFonts w:eastAsia="Times New Roman" w:cs="Times New Roman"/>
                <w:color w:val="000000"/>
                <w:sz w:val="20"/>
                <w:szCs w:val="20"/>
              </w:rPr>
              <w:t xml:space="preserve">Medicaid </w:t>
            </w:r>
            <w:r w:rsidRPr="00A557F0">
              <w:rPr>
                <w:color w:val="000000"/>
                <w:sz w:val="20"/>
                <w:szCs w:val="20"/>
              </w:rPr>
              <w:t>Managed Care Organization Plans</w:t>
            </w:r>
            <w:r w:rsidRPr="00A557F0">
              <w:rPr>
                <w:color w:val="000000"/>
                <w:sz w:val="20"/>
                <w:szCs w:val="20"/>
                <w:vertAlign w:val="superscript"/>
              </w:rPr>
              <w:t>1</w:t>
            </w:r>
          </w:p>
        </w:tc>
        <w:tc>
          <w:tcPr>
            <w:cnfStyle w:val="000010000000" w:firstRow="0" w:lastRow="0" w:firstColumn="0" w:lastColumn="0" w:oddVBand="1" w:evenVBand="0" w:oddHBand="0" w:evenHBand="0" w:firstRowFirstColumn="0" w:firstRowLastColumn="0" w:lastRowFirstColumn="0" w:lastRowLastColumn="0"/>
            <w:tcW w:w="1696" w:type="pct"/>
            <w:vAlign w:val="center"/>
          </w:tcPr>
          <w:p w14:paraId="16A5F228" w14:textId="77777777" w:rsidR="00B11584" w:rsidRPr="00A557F0" w:rsidRDefault="00E535D0" w:rsidP="00A557F0">
            <w:pPr>
              <w:spacing w:line="276" w:lineRule="auto"/>
              <w:jc w:val="center"/>
              <w:rPr>
                <w:rFonts w:eastAsia="Calibri" w:cs="Times New Roman"/>
                <w:sz w:val="20"/>
                <w:szCs w:val="20"/>
              </w:rPr>
            </w:pPr>
            <w:r w:rsidRPr="00A557F0">
              <w:rPr>
                <w:sz w:val="20"/>
                <w:szCs w:val="20"/>
              </w:rPr>
              <w:t>Annually reported to CHIA by commercial p</w:t>
            </w:r>
            <w:r w:rsidR="00B11584" w:rsidRPr="00A557F0">
              <w:rPr>
                <w:sz w:val="20"/>
                <w:szCs w:val="20"/>
              </w:rPr>
              <w:t>ayers</w:t>
            </w:r>
          </w:p>
        </w:tc>
        <w:tc>
          <w:tcPr>
            <w:tcW w:w="1696" w:type="pct"/>
            <w:vMerge/>
            <w:vAlign w:val="center"/>
          </w:tcPr>
          <w:p w14:paraId="77479902" w14:textId="77777777" w:rsidR="00B11584" w:rsidRPr="00A557F0" w:rsidRDefault="00B11584" w:rsidP="00A557F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r>
      <w:tr w:rsidR="00B11584" w:rsidRPr="00A557F0" w14:paraId="23330702" w14:textId="77777777" w:rsidTr="00B0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pct"/>
            <w:vAlign w:val="center"/>
          </w:tcPr>
          <w:p w14:paraId="0FB8F8F9" w14:textId="77777777" w:rsidR="00B11584" w:rsidRPr="00A557F0" w:rsidRDefault="00B11584" w:rsidP="00A557F0">
            <w:pPr>
              <w:spacing w:line="276" w:lineRule="auto"/>
              <w:jc w:val="center"/>
              <w:rPr>
                <w:rFonts w:eastAsia="Times New Roman" w:cs="Times New Roman"/>
                <w:b w:val="0"/>
                <w:bCs w:val="0"/>
                <w:color w:val="000000"/>
                <w:sz w:val="20"/>
                <w:szCs w:val="20"/>
              </w:rPr>
            </w:pPr>
            <w:r w:rsidRPr="00A557F0">
              <w:rPr>
                <w:rFonts w:eastAsia="Times New Roman" w:cs="Times New Roman"/>
                <w:color w:val="000000"/>
                <w:sz w:val="20"/>
                <w:szCs w:val="20"/>
              </w:rPr>
              <w:t>Medicare FFS</w:t>
            </w:r>
            <w:r w:rsidRPr="00A557F0">
              <w:rPr>
                <w:color w:val="000000"/>
                <w:sz w:val="20"/>
                <w:szCs w:val="20"/>
              </w:rPr>
              <w:t xml:space="preserve"> (Parts A, B, and D)</w:t>
            </w:r>
          </w:p>
        </w:tc>
        <w:tc>
          <w:tcPr>
            <w:cnfStyle w:val="000010000000" w:firstRow="0" w:lastRow="0" w:firstColumn="0" w:lastColumn="0" w:oddVBand="1" w:evenVBand="0" w:oddHBand="0" w:evenHBand="0" w:firstRowFirstColumn="0" w:firstRowLastColumn="0" w:lastRowFirstColumn="0" w:lastRowLastColumn="0"/>
            <w:tcW w:w="1696" w:type="pct"/>
            <w:vAlign w:val="center"/>
          </w:tcPr>
          <w:p w14:paraId="46340F45" w14:textId="77777777" w:rsidR="00B11584" w:rsidRPr="00A557F0" w:rsidRDefault="000025BF" w:rsidP="00A557F0">
            <w:pPr>
              <w:spacing w:line="276" w:lineRule="auto"/>
              <w:jc w:val="center"/>
              <w:rPr>
                <w:rFonts w:eastAsia="Calibri" w:cs="Times New Roman"/>
                <w:sz w:val="20"/>
                <w:szCs w:val="20"/>
              </w:rPr>
            </w:pPr>
            <w:r w:rsidRPr="00A557F0">
              <w:rPr>
                <w:sz w:val="20"/>
                <w:szCs w:val="20"/>
              </w:rPr>
              <w:t>Aggregated data p</w:t>
            </w:r>
            <w:r w:rsidR="00B11584" w:rsidRPr="00A557F0">
              <w:rPr>
                <w:sz w:val="20"/>
                <w:szCs w:val="20"/>
              </w:rPr>
              <w:t>rovided by CMS</w:t>
            </w:r>
            <w:r w:rsidRPr="00A557F0">
              <w:rPr>
                <w:sz w:val="20"/>
                <w:szCs w:val="20"/>
              </w:rPr>
              <w:t xml:space="preserve"> to CHIA</w:t>
            </w:r>
          </w:p>
        </w:tc>
        <w:tc>
          <w:tcPr>
            <w:tcW w:w="1696" w:type="pct"/>
            <w:vAlign w:val="center"/>
          </w:tcPr>
          <w:p w14:paraId="563AA75A" w14:textId="77777777" w:rsidR="00B11584" w:rsidRPr="00A557F0" w:rsidRDefault="00A22843" w:rsidP="00A557F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A557F0">
              <w:rPr>
                <w:sz w:val="20"/>
                <w:szCs w:val="20"/>
              </w:rPr>
              <w:t xml:space="preserve">Medicare </w:t>
            </w:r>
            <w:r w:rsidR="000025BF" w:rsidRPr="00A557F0">
              <w:rPr>
                <w:sz w:val="20"/>
                <w:szCs w:val="20"/>
              </w:rPr>
              <w:t xml:space="preserve">claim </w:t>
            </w:r>
            <w:r w:rsidRPr="00A557F0">
              <w:rPr>
                <w:sz w:val="20"/>
                <w:szCs w:val="20"/>
              </w:rPr>
              <w:t>data from CMS</w:t>
            </w:r>
          </w:p>
        </w:tc>
      </w:tr>
      <w:tr w:rsidR="00B11584" w:rsidRPr="00A557F0" w14:paraId="1419D83A" w14:textId="77777777" w:rsidTr="00B00844">
        <w:tc>
          <w:tcPr>
            <w:cnfStyle w:val="001000000000" w:firstRow="0" w:lastRow="0" w:firstColumn="1" w:lastColumn="0" w:oddVBand="0" w:evenVBand="0" w:oddHBand="0" w:evenHBand="0" w:firstRowFirstColumn="0" w:firstRowLastColumn="0" w:lastRowFirstColumn="0" w:lastRowLastColumn="0"/>
            <w:tcW w:w="1607" w:type="pct"/>
            <w:vAlign w:val="center"/>
          </w:tcPr>
          <w:p w14:paraId="77A08CFF" w14:textId="77777777" w:rsidR="00B11584" w:rsidRPr="00A557F0" w:rsidRDefault="00B11584" w:rsidP="00A557F0">
            <w:pPr>
              <w:spacing w:line="276" w:lineRule="auto"/>
              <w:jc w:val="center"/>
              <w:rPr>
                <w:rFonts w:eastAsia="Times New Roman" w:cs="Times New Roman"/>
                <w:bCs w:val="0"/>
                <w:color w:val="000000"/>
                <w:sz w:val="20"/>
                <w:szCs w:val="20"/>
              </w:rPr>
            </w:pPr>
            <w:r w:rsidRPr="00A557F0">
              <w:rPr>
                <w:rFonts w:eastAsia="Times New Roman" w:cs="Times New Roman"/>
                <w:bCs w:val="0"/>
                <w:color w:val="000000"/>
                <w:sz w:val="20"/>
                <w:szCs w:val="20"/>
              </w:rPr>
              <w:t>Medicare Advantage</w:t>
            </w:r>
          </w:p>
        </w:tc>
        <w:tc>
          <w:tcPr>
            <w:cnfStyle w:val="000010000000" w:firstRow="0" w:lastRow="0" w:firstColumn="0" w:lastColumn="0" w:oddVBand="1" w:evenVBand="0" w:oddHBand="0" w:evenHBand="0" w:firstRowFirstColumn="0" w:firstRowLastColumn="0" w:lastRowFirstColumn="0" w:lastRowLastColumn="0"/>
            <w:tcW w:w="1696" w:type="pct"/>
            <w:vAlign w:val="center"/>
          </w:tcPr>
          <w:p w14:paraId="654E1875" w14:textId="77777777" w:rsidR="00B11584" w:rsidRPr="00A557F0" w:rsidRDefault="00E535D0" w:rsidP="00A557F0">
            <w:pPr>
              <w:spacing w:line="276" w:lineRule="auto"/>
              <w:jc w:val="center"/>
              <w:rPr>
                <w:rFonts w:eastAsia="Calibri" w:cs="Times New Roman"/>
                <w:sz w:val="20"/>
                <w:szCs w:val="20"/>
              </w:rPr>
            </w:pPr>
            <w:r w:rsidRPr="00A557F0">
              <w:rPr>
                <w:sz w:val="20"/>
                <w:szCs w:val="20"/>
              </w:rPr>
              <w:t>Annually reported to CHIA by commercial p</w:t>
            </w:r>
            <w:r w:rsidR="00B11584" w:rsidRPr="00A557F0">
              <w:rPr>
                <w:sz w:val="20"/>
                <w:szCs w:val="20"/>
              </w:rPr>
              <w:t>ayers</w:t>
            </w:r>
          </w:p>
        </w:tc>
        <w:tc>
          <w:tcPr>
            <w:tcW w:w="1696" w:type="pct"/>
            <w:vAlign w:val="center"/>
          </w:tcPr>
          <w:p w14:paraId="000D2A3B" w14:textId="77777777" w:rsidR="00B11584" w:rsidRPr="00A557F0" w:rsidRDefault="000025BF" w:rsidP="00A557F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557F0">
              <w:rPr>
                <w:sz w:val="20"/>
                <w:szCs w:val="20"/>
              </w:rPr>
              <w:t>A</w:t>
            </w:r>
            <w:r w:rsidR="005D27F3" w:rsidRPr="00A557F0">
              <w:rPr>
                <w:sz w:val="20"/>
                <w:szCs w:val="20"/>
              </w:rPr>
              <w:t xml:space="preserve">nnually </w:t>
            </w:r>
            <w:r w:rsidRPr="00A557F0">
              <w:rPr>
                <w:sz w:val="20"/>
                <w:szCs w:val="20"/>
              </w:rPr>
              <w:t xml:space="preserve">reported to </w:t>
            </w:r>
            <w:r w:rsidR="00B11584" w:rsidRPr="00A557F0">
              <w:rPr>
                <w:sz w:val="20"/>
                <w:szCs w:val="20"/>
              </w:rPr>
              <w:t>CMS</w:t>
            </w:r>
            <w:r w:rsidRPr="00A557F0">
              <w:rPr>
                <w:sz w:val="20"/>
                <w:szCs w:val="20"/>
              </w:rPr>
              <w:t xml:space="preserve"> by managed care plans</w:t>
            </w:r>
          </w:p>
        </w:tc>
      </w:tr>
      <w:tr w:rsidR="00A22843" w:rsidRPr="00A557F0" w14:paraId="2A4DF146" w14:textId="77777777" w:rsidTr="00B0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pct"/>
            <w:vAlign w:val="center"/>
          </w:tcPr>
          <w:p w14:paraId="3E88E4CA" w14:textId="77777777" w:rsidR="00A22843" w:rsidRPr="00A557F0" w:rsidRDefault="00A22843" w:rsidP="00A557F0">
            <w:pPr>
              <w:spacing w:line="276" w:lineRule="auto"/>
              <w:jc w:val="center"/>
              <w:rPr>
                <w:rFonts w:eastAsia="Times New Roman" w:cs="Times New Roman"/>
                <w:b w:val="0"/>
                <w:bCs w:val="0"/>
                <w:color w:val="000000"/>
                <w:sz w:val="20"/>
                <w:szCs w:val="20"/>
              </w:rPr>
            </w:pPr>
            <w:r w:rsidRPr="00A557F0">
              <w:rPr>
                <w:color w:val="000000"/>
                <w:sz w:val="20"/>
                <w:szCs w:val="20"/>
              </w:rPr>
              <w:t>Commercial</w:t>
            </w:r>
            <w:r w:rsidRPr="00A557F0">
              <w:rPr>
                <w:rFonts w:eastAsia="Times New Roman" w:cs="Times New Roman"/>
                <w:color w:val="000000"/>
                <w:sz w:val="20"/>
                <w:szCs w:val="20"/>
              </w:rPr>
              <w:t xml:space="preserve"> Health Insurance</w:t>
            </w:r>
          </w:p>
        </w:tc>
        <w:tc>
          <w:tcPr>
            <w:cnfStyle w:val="000010000000" w:firstRow="0" w:lastRow="0" w:firstColumn="0" w:lastColumn="0" w:oddVBand="1" w:evenVBand="0" w:oddHBand="0" w:evenHBand="0" w:firstRowFirstColumn="0" w:firstRowLastColumn="0" w:lastRowFirstColumn="0" w:lastRowLastColumn="0"/>
            <w:tcW w:w="1696" w:type="pct"/>
            <w:vAlign w:val="center"/>
          </w:tcPr>
          <w:p w14:paraId="24BDF7F7" w14:textId="77777777" w:rsidR="00A22843" w:rsidRPr="00A557F0" w:rsidRDefault="00A22843" w:rsidP="00A557F0">
            <w:pPr>
              <w:spacing w:line="276" w:lineRule="auto"/>
              <w:jc w:val="center"/>
              <w:rPr>
                <w:rFonts w:eastAsia="Calibri" w:cs="Times New Roman"/>
                <w:sz w:val="20"/>
                <w:szCs w:val="20"/>
              </w:rPr>
            </w:pPr>
            <w:r w:rsidRPr="00A557F0">
              <w:rPr>
                <w:sz w:val="20"/>
                <w:szCs w:val="20"/>
              </w:rPr>
              <w:t xml:space="preserve">Annually </w:t>
            </w:r>
            <w:r w:rsidR="00E535D0" w:rsidRPr="00A557F0">
              <w:rPr>
                <w:sz w:val="20"/>
                <w:szCs w:val="20"/>
              </w:rPr>
              <w:t>reported to CHIA by commercial p</w:t>
            </w:r>
            <w:r w:rsidRPr="00A557F0">
              <w:rPr>
                <w:sz w:val="20"/>
                <w:szCs w:val="20"/>
              </w:rPr>
              <w:t>ayers</w:t>
            </w:r>
          </w:p>
        </w:tc>
        <w:tc>
          <w:tcPr>
            <w:tcW w:w="1696" w:type="pct"/>
            <w:vMerge w:val="restart"/>
            <w:vAlign w:val="center"/>
          </w:tcPr>
          <w:p w14:paraId="26DE732F" w14:textId="77777777" w:rsidR="006E12C8" w:rsidRPr="00A557F0" w:rsidRDefault="006E12C8" w:rsidP="00A557F0">
            <w:pP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A557F0">
              <w:rPr>
                <w:rFonts w:eastAsia="Calibri" w:cs="Times New Roman"/>
                <w:sz w:val="20"/>
                <w:szCs w:val="20"/>
              </w:rPr>
              <w:t>Collectively r</w:t>
            </w:r>
            <w:r w:rsidR="00A22843" w:rsidRPr="00A557F0">
              <w:rPr>
                <w:rFonts w:eastAsia="Calibri" w:cs="Times New Roman"/>
                <w:sz w:val="20"/>
                <w:szCs w:val="20"/>
              </w:rPr>
              <w:t xml:space="preserve">epresented by residual spending </w:t>
            </w:r>
            <w:r w:rsidRPr="00A557F0">
              <w:rPr>
                <w:rFonts w:eastAsia="Calibri" w:cs="Times New Roman"/>
                <w:sz w:val="20"/>
                <w:szCs w:val="20"/>
              </w:rPr>
              <w:t>from total expenditures of all payers after accounting for</w:t>
            </w:r>
            <w:r w:rsidR="00A22843" w:rsidRPr="00A557F0">
              <w:rPr>
                <w:rFonts w:eastAsia="Calibri" w:cs="Times New Roman"/>
                <w:sz w:val="20"/>
                <w:szCs w:val="20"/>
              </w:rPr>
              <w:t xml:space="preserve"> Medicare and Medicaid</w:t>
            </w:r>
            <w:r w:rsidRPr="00A557F0">
              <w:rPr>
                <w:rFonts w:eastAsia="Calibri" w:cs="Times New Roman"/>
                <w:sz w:val="20"/>
                <w:szCs w:val="20"/>
              </w:rPr>
              <w:t>.</w:t>
            </w:r>
          </w:p>
          <w:p w14:paraId="3EF58B3F" w14:textId="77777777" w:rsidR="00A22843" w:rsidRPr="00A557F0" w:rsidRDefault="006E12C8" w:rsidP="00A557F0">
            <w:pP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A557F0">
              <w:rPr>
                <w:rFonts w:eastAsia="Calibri" w:cs="Times New Roman"/>
                <w:sz w:val="20"/>
                <w:szCs w:val="20"/>
              </w:rPr>
              <w:t>Total expenditures of all payers</w:t>
            </w:r>
            <w:r w:rsidR="007F7FD5" w:rsidRPr="00A557F0">
              <w:rPr>
                <w:rFonts w:eastAsia="Calibri" w:cs="Times New Roman"/>
                <w:sz w:val="20"/>
                <w:szCs w:val="20"/>
              </w:rPr>
              <w:t xml:space="preserve"> </w:t>
            </w:r>
            <w:r w:rsidRPr="00A557F0">
              <w:rPr>
                <w:rFonts w:eastAsia="Calibri" w:cs="Times New Roman"/>
                <w:sz w:val="20"/>
                <w:szCs w:val="20"/>
              </w:rPr>
              <w:t xml:space="preserve">are primarily sourced from U.S. Census Bureau’s </w:t>
            </w:r>
            <w:proofErr w:type="spellStart"/>
            <w:r w:rsidRPr="00A557F0">
              <w:rPr>
                <w:rFonts w:eastAsia="Calibri" w:cs="Times New Roman"/>
                <w:sz w:val="20"/>
                <w:szCs w:val="20"/>
              </w:rPr>
              <w:t>quinquennial</w:t>
            </w:r>
            <w:proofErr w:type="spellEnd"/>
            <w:r w:rsidRPr="00A557F0">
              <w:rPr>
                <w:rFonts w:eastAsia="Calibri" w:cs="Times New Roman"/>
                <w:sz w:val="20"/>
                <w:szCs w:val="20"/>
              </w:rPr>
              <w:t xml:space="preserve"> Economic Census. </w:t>
            </w:r>
            <w:r w:rsidR="00A22843" w:rsidRPr="00A557F0">
              <w:rPr>
                <w:sz w:val="20"/>
                <w:szCs w:val="20"/>
              </w:rPr>
              <w:t xml:space="preserve"> </w:t>
            </w:r>
          </w:p>
          <w:p w14:paraId="6CEBBA10" w14:textId="77777777" w:rsidR="00A22843" w:rsidRPr="00A557F0" w:rsidRDefault="00A22843" w:rsidP="00A557F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p>
        </w:tc>
      </w:tr>
      <w:tr w:rsidR="00A22843" w:rsidRPr="00A557F0" w14:paraId="1A05FF09" w14:textId="77777777" w:rsidTr="00B00844">
        <w:tc>
          <w:tcPr>
            <w:cnfStyle w:val="001000000000" w:firstRow="0" w:lastRow="0" w:firstColumn="1" w:lastColumn="0" w:oddVBand="0" w:evenVBand="0" w:oddHBand="0" w:evenHBand="0" w:firstRowFirstColumn="0" w:firstRowLastColumn="0" w:lastRowFirstColumn="0" w:lastRowLastColumn="0"/>
            <w:tcW w:w="1607" w:type="pct"/>
            <w:vAlign w:val="center"/>
          </w:tcPr>
          <w:p w14:paraId="0B2DCED8" w14:textId="77777777" w:rsidR="00A22843" w:rsidRPr="00A557F0" w:rsidRDefault="00A22843" w:rsidP="00A557F0">
            <w:pPr>
              <w:jc w:val="center"/>
              <w:rPr>
                <w:rFonts w:eastAsia="Times New Roman" w:cs="Times New Roman"/>
                <w:color w:val="000000"/>
                <w:sz w:val="20"/>
                <w:szCs w:val="20"/>
              </w:rPr>
            </w:pPr>
            <w:r w:rsidRPr="00A557F0">
              <w:rPr>
                <w:color w:val="000000"/>
                <w:sz w:val="20"/>
                <w:szCs w:val="20"/>
              </w:rPr>
              <w:t>Out-of-Pocket Payments for Covered Services</w:t>
            </w:r>
            <w:r w:rsidRPr="00A557F0">
              <w:rPr>
                <w:color w:val="000000"/>
                <w:sz w:val="20"/>
                <w:szCs w:val="20"/>
                <w:vertAlign w:val="superscript"/>
              </w:rPr>
              <w:t>2</w:t>
            </w:r>
          </w:p>
        </w:tc>
        <w:tc>
          <w:tcPr>
            <w:cnfStyle w:val="000010000000" w:firstRow="0" w:lastRow="0" w:firstColumn="0" w:lastColumn="0" w:oddVBand="1" w:evenVBand="0" w:oddHBand="0" w:evenHBand="0" w:firstRowFirstColumn="0" w:firstRowLastColumn="0" w:lastRowFirstColumn="0" w:lastRowLastColumn="0"/>
            <w:tcW w:w="1696" w:type="pct"/>
            <w:vAlign w:val="center"/>
          </w:tcPr>
          <w:p w14:paraId="7764E1B9" w14:textId="77777777" w:rsidR="00A22843" w:rsidRPr="00A557F0" w:rsidRDefault="00A22843" w:rsidP="00A557F0">
            <w:pPr>
              <w:jc w:val="center"/>
              <w:rPr>
                <w:sz w:val="20"/>
                <w:szCs w:val="20"/>
              </w:rPr>
            </w:pPr>
            <w:r w:rsidRPr="00A557F0">
              <w:rPr>
                <w:sz w:val="20"/>
                <w:szCs w:val="20"/>
              </w:rPr>
              <w:t>Included in the data provided by commercial payers, MassHealth, and Medicare</w:t>
            </w:r>
          </w:p>
        </w:tc>
        <w:tc>
          <w:tcPr>
            <w:tcW w:w="1696" w:type="pct"/>
            <w:vMerge/>
            <w:vAlign w:val="center"/>
          </w:tcPr>
          <w:p w14:paraId="74346B51" w14:textId="77777777" w:rsidR="00A22843" w:rsidRPr="00A557F0" w:rsidRDefault="00A22843" w:rsidP="00A557F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r>
      <w:tr w:rsidR="00A22843" w:rsidRPr="00A557F0" w14:paraId="4C14E95F" w14:textId="77777777" w:rsidTr="00B0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pct"/>
            <w:vAlign w:val="center"/>
          </w:tcPr>
          <w:p w14:paraId="7315B271" w14:textId="77777777" w:rsidR="00A22843" w:rsidRPr="00A557F0" w:rsidRDefault="00A22843" w:rsidP="00A557F0">
            <w:pPr>
              <w:jc w:val="center"/>
              <w:rPr>
                <w:rFonts w:eastAsia="Times New Roman" w:cs="Times New Roman"/>
                <w:color w:val="000000"/>
                <w:sz w:val="20"/>
                <w:szCs w:val="20"/>
              </w:rPr>
            </w:pPr>
            <w:r w:rsidRPr="00A557F0">
              <w:rPr>
                <w:color w:val="000000"/>
                <w:sz w:val="20"/>
                <w:szCs w:val="20"/>
              </w:rPr>
              <w:t>Out-of-Pocket Payments for No</w:t>
            </w:r>
            <w:r w:rsidR="00125FA6" w:rsidRPr="00A557F0">
              <w:rPr>
                <w:color w:val="000000"/>
                <w:sz w:val="20"/>
                <w:szCs w:val="20"/>
              </w:rPr>
              <w:t>n-</w:t>
            </w:r>
            <w:r w:rsidRPr="00A557F0">
              <w:rPr>
                <w:color w:val="000000"/>
                <w:sz w:val="20"/>
                <w:szCs w:val="20"/>
              </w:rPr>
              <w:t>Covered Services</w:t>
            </w:r>
            <w:r w:rsidRPr="00A557F0">
              <w:rPr>
                <w:color w:val="000000"/>
                <w:sz w:val="20"/>
                <w:szCs w:val="20"/>
                <w:vertAlign w:val="superscript"/>
              </w:rPr>
              <w:t>2</w:t>
            </w:r>
          </w:p>
        </w:tc>
        <w:tc>
          <w:tcPr>
            <w:cnfStyle w:val="000010000000" w:firstRow="0" w:lastRow="0" w:firstColumn="0" w:lastColumn="0" w:oddVBand="1" w:evenVBand="0" w:oddHBand="0" w:evenHBand="0" w:firstRowFirstColumn="0" w:firstRowLastColumn="0" w:lastRowFirstColumn="0" w:lastRowLastColumn="0"/>
            <w:tcW w:w="1696" w:type="pct"/>
            <w:vAlign w:val="center"/>
          </w:tcPr>
          <w:p w14:paraId="226B7F68" w14:textId="77777777" w:rsidR="00A22843" w:rsidRPr="00A557F0" w:rsidRDefault="00A22843" w:rsidP="00A557F0">
            <w:pPr>
              <w:jc w:val="center"/>
              <w:rPr>
                <w:sz w:val="20"/>
                <w:szCs w:val="20"/>
              </w:rPr>
            </w:pPr>
            <w:r w:rsidRPr="00A557F0">
              <w:rPr>
                <w:sz w:val="20"/>
                <w:szCs w:val="20"/>
              </w:rPr>
              <w:t>No data</w:t>
            </w:r>
          </w:p>
        </w:tc>
        <w:tc>
          <w:tcPr>
            <w:tcW w:w="1696" w:type="pct"/>
            <w:vMerge/>
          </w:tcPr>
          <w:p w14:paraId="1103710E" w14:textId="77777777" w:rsidR="00A22843" w:rsidRPr="00A557F0" w:rsidRDefault="00A22843" w:rsidP="00A557F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p>
        </w:tc>
      </w:tr>
      <w:tr w:rsidR="00A22843" w:rsidRPr="00A557F0" w14:paraId="11746032" w14:textId="77777777" w:rsidTr="00B00844">
        <w:tc>
          <w:tcPr>
            <w:cnfStyle w:val="001000000000" w:firstRow="0" w:lastRow="0" w:firstColumn="1" w:lastColumn="0" w:oddVBand="0" w:evenVBand="0" w:oddHBand="0" w:evenHBand="0" w:firstRowFirstColumn="0" w:firstRowLastColumn="0" w:lastRowFirstColumn="0" w:lastRowLastColumn="0"/>
            <w:tcW w:w="1607" w:type="pct"/>
            <w:vAlign w:val="center"/>
          </w:tcPr>
          <w:p w14:paraId="5949BFB2" w14:textId="77777777" w:rsidR="00A22843" w:rsidRPr="00A557F0" w:rsidRDefault="00A22843" w:rsidP="00A557F0">
            <w:pPr>
              <w:spacing w:line="276" w:lineRule="auto"/>
              <w:jc w:val="center"/>
              <w:rPr>
                <w:rFonts w:eastAsia="Times New Roman" w:cs="Times New Roman"/>
                <w:b w:val="0"/>
                <w:bCs w:val="0"/>
                <w:color w:val="000000"/>
                <w:sz w:val="20"/>
                <w:szCs w:val="20"/>
              </w:rPr>
            </w:pPr>
            <w:r w:rsidRPr="00A557F0">
              <w:rPr>
                <w:rFonts w:eastAsia="Times New Roman" w:cs="Times New Roman"/>
                <w:color w:val="000000"/>
                <w:sz w:val="20"/>
                <w:szCs w:val="20"/>
              </w:rPr>
              <w:t>Uninsured</w:t>
            </w:r>
          </w:p>
        </w:tc>
        <w:tc>
          <w:tcPr>
            <w:cnfStyle w:val="000010000000" w:firstRow="0" w:lastRow="0" w:firstColumn="0" w:lastColumn="0" w:oddVBand="1" w:evenVBand="0" w:oddHBand="0" w:evenHBand="0" w:firstRowFirstColumn="0" w:firstRowLastColumn="0" w:lastRowFirstColumn="0" w:lastRowLastColumn="0"/>
            <w:tcW w:w="1696" w:type="pct"/>
            <w:vAlign w:val="center"/>
          </w:tcPr>
          <w:p w14:paraId="7D4BF5DD" w14:textId="77777777" w:rsidR="00A22843" w:rsidRPr="00A557F0" w:rsidRDefault="00A22843" w:rsidP="00A557F0">
            <w:pPr>
              <w:spacing w:line="276" w:lineRule="auto"/>
              <w:jc w:val="center"/>
              <w:rPr>
                <w:rFonts w:eastAsia="Calibri" w:cs="Times New Roman"/>
                <w:sz w:val="20"/>
                <w:szCs w:val="20"/>
              </w:rPr>
            </w:pPr>
            <w:r w:rsidRPr="00A557F0">
              <w:rPr>
                <w:sz w:val="20"/>
                <w:szCs w:val="20"/>
              </w:rPr>
              <w:t>Only include</w:t>
            </w:r>
            <w:r w:rsidR="00125FA6" w:rsidRPr="00A557F0">
              <w:rPr>
                <w:sz w:val="20"/>
                <w:szCs w:val="20"/>
              </w:rPr>
              <w:t>s</w:t>
            </w:r>
            <w:r w:rsidRPr="00A557F0">
              <w:rPr>
                <w:sz w:val="20"/>
                <w:szCs w:val="20"/>
              </w:rPr>
              <w:t xml:space="preserve"> payment information provided by the Office of Health Safety Net</w:t>
            </w:r>
          </w:p>
        </w:tc>
        <w:tc>
          <w:tcPr>
            <w:tcW w:w="1696" w:type="pct"/>
            <w:vMerge/>
          </w:tcPr>
          <w:p w14:paraId="66241632" w14:textId="77777777" w:rsidR="00A22843" w:rsidRPr="00A557F0" w:rsidRDefault="00A22843" w:rsidP="00A557F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r>
      <w:tr w:rsidR="00A22843" w:rsidRPr="00A557F0" w14:paraId="0CFB56B3" w14:textId="77777777" w:rsidTr="00B0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pct"/>
            <w:vAlign w:val="center"/>
          </w:tcPr>
          <w:p w14:paraId="389B2473" w14:textId="77777777" w:rsidR="00A22843" w:rsidRPr="00A557F0" w:rsidRDefault="00A22843" w:rsidP="00A557F0">
            <w:pPr>
              <w:spacing w:line="276" w:lineRule="auto"/>
              <w:jc w:val="center"/>
              <w:rPr>
                <w:rFonts w:eastAsia="Times New Roman" w:cs="Times New Roman"/>
                <w:b w:val="0"/>
                <w:bCs w:val="0"/>
                <w:color w:val="000000"/>
                <w:sz w:val="20"/>
                <w:szCs w:val="20"/>
              </w:rPr>
            </w:pPr>
            <w:r w:rsidRPr="00A557F0">
              <w:rPr>
                <w:color w:val="000000"/>
                <w:sz w:val="20"/>
                <w:szCs w:val="20"/>
              </w:rPr>
              <w:t>Other Public Programs</w:t>
            </w:r>
            <w:r w:rsidR="00F63939" w:rsidRPr="00A557F0">
              <w:rPr>
                <w:color w:val="000000"/>
                <w:sz w:val="20"/>
                <w:szCs w:val="20"/>
                <w:vertAlign w:val="superscript"/>
              </w:rPr>
              <w:t>3</w:t>
            </w:r>
          </w:p>
        </w:tc>
        <w:tc>
          <w:tcPr>
            <w:cnfStyle w:val="000010000000" w:firstRow="0" w:lastRow="0" w:firstColumn="0" w:lastColumn="0" w:oddVBand="1" w:evenVBand="0" w:oddHBand="0" w:evenHBand="0" w:firstRowFirstColumn="0" w:firstRowLastColumn="0" w:lastRowFirstColumn="0" w:lastRowLastColumn="0"/>
            <w:tcW w:w="1696" w:type="pct"/>
            <w:vAlign w:val="center"/>
          </w:tcPr>
          <w:p w14:paraId="32D211CA" w14:textId="77777777" w:rsidR="00A22843" w:rsidRPr="00A557F0" w:rsidRDefault="00E535D0" w:rsidP="00A557F0">
            <w:pPr>
              <w:spacing w:line="276" w:lineRule="auto"/>
              <w:jc w:val="center"/>
              <w:rPr>
                <w:rFonts w:eastAsia="Calibri" w:cs="Times New Roman"/>
                <w:sz w:val="20"/>
                <w:szCs w:val="20"/>
              </w:rPr>
            </w:pPr>
            <w:r w:rsidRPr="00A557F0">
              <w:rPr>
                <w:rFonts w:eastAsia="Calibri" w:cs="Times New Roman"/>
                <w:sz w:val="20"/>
                <w:szCs w:val="20"/>
              </w:rPr>
              <w:t>Annually reported to CHIA by commercial payers and public sources</w:t>
            </w:r>
            <w:r w:rsidRPr="00A557F0">
              <w:rPr>
                <w:rFonts w:eastAsia="Calibri" w:cs="Times New Roman"/>
                <w:sz w:val="20"/>
                <w:szCs w:val="20"/>
                <w:vertAlign w:val="superscript"/>
              </w:rPr>
              <w:t>4</w:t>
            </w:r>
          </w:p>
        </w:tc>
        <w:tc>
          <w:tcPr>
            <w:tcW w:w="1696" w:type="pct"/>
            <w:vMerge/>
          </w:tcPr>
          <w:p w14:paraId="40014D32" w14:textId="77777777" w:rsidR="00A22843" w:rsidRPr="00A557F0" w:rsidRDefault="00A22843" w:rsidP="00A557F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p>
        </w:tc>
      </w:tr>
      <w:tr w:rsidR="00A22843" w:rsidRPr="00A557F0" w14:paraId="0778C790" w14:textId="77777777" w:rsidTr="00B00844">
        <w:tc>
          <w:tcPr>
            <w:cnfStyle w:val="001000000000" w:firstRow="0" w:lastRow="0" w:firstColumn="1" w:lastColumn="0" w:oddVBand="0" w:evenVBand="0" w:oddHBand="0" w:evenHBand="0" w:firstRowFirstColumn="0" w:firstRowLastColumn="0" w:lastRowFirstColumn="0" w:lastRowLastColumn="0"/>
            <w:tcW w:w="1607" w:type="pct"/>
            <w:vAlign w:val="center"/>
          </w:tcPr>
          <w:p w14:paraId="2139DB35" w14:textId="77777777" w:rsidR="00A22843" w:rsidRPr="00A557F0" w:rsidRDefault="00A22843" w:rsidP="00A557F0">
            <w:pPr>
              <w:spacing w:line="276" w:lineRule="auto"/>
              <w:jc w:val="center"/>
              <w:rPr>
                <w:rFonts w:eastAsia="Times New Roman" w:cs="Times New Roman"/>
                <w:b w:val="0"/>
                <w:bCs w:val="0"/>
                <w:color w:val="000000"/>
                <w:sz w:val="20"/>
                <w:szCs w:val="20"/>
              </w:rPr>
            </w:pPr>
            <w:r w:rsidRPr="00A557F0">
              <w:rPr>
                <w:rFonts w:eastAsia="Times New Roman" w:cs="Times New Roman"/>
                <w:color w:val="000000"/>
                <w:sz w:val="20"/>
                <w:szCs w:val="20"/>
              </w:rPr>
              <w:t>Other Private Revenues</w:t>
            </w:r>
            <w:r w:rsidRPr="00A557F0">
              <w:rPr>
                <w:rFonts w:eastAsia="Times New Roman" w:cs="Times New Roman"/>
                <w:color w:val="000000"/>
                <w:sz w:val="20"/>
                <w:szCs w:val="20"/>
                <w:vertAlign w:val="superscript"/>
              </w:rPr>
              <w:t>5</w:t>
            </w:r>
          </w:p>
        </w:tc>
        <w:tc>
          <w:tcPr>
            <w:cnfStyle w:val="000010000000" w:firstRow="0" w:lastRow="0" w:firstColumn="0" w:lastColumn="0" w:oddVBand="1" w:evenVBand="0" w:oddHBand="0" w:evenHBand="0" w:firstRowFirstColumn="0" w:firstRowLastColumn="0" w:lastRowFirstColumn="0" w:lastRowLastColumn="0"/>
            <w:tcW w:w="1696" w:type="pct"/>
            <w:vAlign w:val="center"/>
          </w:tcPr>
          <w:p w14:paraId="439B5359" w14:textId="77777777" w:rsidR="00A22843" w:rsidRPr="00A557F0" w:rsidRDefault="00A22843" w:rsidP="00A557F0">
            <w:pPr>
              <w:spacing w:line="276" w:lineRule="auto"/>
              <w:jc w:val="center"/>
              <w:rPr>
                <w:rFonts w:eastAsia="Calibri" w:cs="Times New Roman"/>
                <w:sz w:val="20"/>
                <w:szCs w:val="20"/>
              </w:rPr>
            </w:pPr>
            <w:r w:rsidRPr="00A557F0">
              <w:rPr>
                <w:sz w:val="20"/>
                <w:szCs w:val="20"/>
              </w:rPr>
              <w:t>No data/Not Included</w:t>
            </w:r>
          </w:p>
        </w:tc>
        <w:tc>
          <w:tcPr>
            <w:tcW w:w="1696" w:type="pct"/>
            <w:vMerge/>
          </w:tcPr>
          <w:p w14:paraId="38D96808" w14:textId="77777777" w:rsidR="00A22843" w:rsidRPr="00A557F0" w:rsidRDefault="00A22843" w:rsidP="00A557F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r>
      <w:tr w:rsidR="00F07256" w:rsidRPr="00A557F0" w14:paraId="285EC6B1" w14:textId="77777777" w:rsidTr="00B0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pct"/>
            <w:vAlign w:val="center"/>
          </w:tcPr>
          <w:p w14:paraId="3F8C8BD2" w14:textId="77777777" w:rsidR="00F07256" w:rsidRPr="00A557F0" w:rsidRDefault="00F07256" w:rsidP="00A557F0">
            <w:pPr>
              <w:jc w:val="center"/>
              <w:rPr>
                <w:rFonts w:eastAsia="Times New Roman" w:cs="Times New Roman"/>
                <w:color w:val="000000"/>
                <w:sz w:val="20"/>
                <w:szCs w:val="20"/>
              </w:rPr>
            </w:pPr>
            <w:r w:rsidRPr="00A557F0">
              <w:rPr>
                <w:rFonts w:eastAsia="Times New Roman" w:cs="Times New Roman"/>
                <w:color w:val="000000"/>
                <w:sz w:val="20"/>
                <w:szCs w:val="20"/>
              </w:rPr>
              <w:t>Net Cost of Private Health Insurance</w:t>
            </w:r>
          </w:p>
        </w:tc>
        <w:tc>
          <w:tcPr>
            <w:cnfStyle w:val="000010000000" w:firstRow="0" w:lastRow="0" w:firstColumn="0" w:lastColumn="0" w:oddVBand="1" w:evenVBand="0" w:oddHBand="0" w:evenHBand="0" w:firstRowFirstColumn="0" w:firstRowLastColumn="0" w:lastRowFirstColumn="0" w:lastRowLastColumn="0"/>
            <w:tcW w:w="1696" w:type="pct"/>
            <w:vAlign w:val="center"/>
          </w:tcPr>
          <w:p w14:paraId="0DDCCD16" w14:textId="77777777" w:rsidR="00F07256" w:rsidRPr="00A557F0" w:rsidRDefault="00F07256" w:rsidP="006253F0">
            <w:pPr>
              <w:jc w:val="center"/>
              <w:rPr>
                <w:sz w:val="20"/>
                <w:szCs w:val="20"/>
              </w:rPr>
            </w:pPr>
            <w:r w:rsidRPr="00A557F0">
              <w:rPr>
                <w:rFonts w:eastAsia="Calibri" w:cs="Times New Roman"/>
                <w:sz w:val="20"/>
                <w:szCs w:val="20"/>
              </w:rPr>
              <w:t>Annually reported by commercial payers to the Massachusetts Division of Insurance (DOI), the National Association of Insurance Commissioners (NAIC), and the Center for Consumer Information and Insurance Oversight (CCIIO)</w:t>
            </w:r>
          </w:p>
        </w:tc>
        <w:tc>
          <w:tcPr>
            <w:tcW w:w="1696" w:type="pct"/>
          </w:tcPr>
          <w:p w14:paraId="6AB477A4" w14:textId="77777777" w:rsidR="00F07256" w:rsidRPr="00A557F0" w:rsidRDefault="00F07256" w:rsidP="00A557F0">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A557F0">
              <w:rPr>
                <w:rFonts w:eastAsia="Calibri" w:cs="Times New Roman"/>
                <w:sz w:val="20"/>
                <w:szCs w:val="20"/>
              </w:rPr>
              <w:t>Not Included</w:t>
            </w:r>
          </w:p>
        </w:tc>
      </w:tr>
    </w:tbl>
    <w:p w14:paraId="56F92E4B" w14:textId="77777777" w:rsidR="002B0814" w:rsidRPr="00A557F0" w:rsidRDefault="00955CE9" w:rsidP="00955CE9">
      <w:pPr>
        <w:spacing w:after="0"/>
        <w:rPr>
          <w:sz w:val="18"/>
        </w:rPr>
      </w:pPr>
      <w:r w:rsidRPr="00A557F0">
        <w:rPr>
          <w:sz w:val="18"/>
        </w:rPr>
        <w:t>Notes:</w:t>
      </w:r>
    </w:p>
    <w:p w14:paraId="3071E3B7" w14:textId="77777777" w:rsidR="00C20FE8" w:rsidRPr="00A557F0" w:rsidRDefault="00955CE9" w:rsidP="00C20FE8">
      <w:pPr>
        <w:pStyle w:val="ListParagraph"/>
        <w:numPr>
          <w:ilvl w:val="0"/>
          <w:numId w:val="1"/>
        </w:numPr>
        <w:ind w:left="270" w:hanging="270"/>
        <w:rPr>
          <w:sz w:val="18"/>
        </w:rPr>
      </w:pPr>
      <w:r w:rsidRPr="00A557F0">
        <w:rPr>
          <w:sz w:val="18"/>
        </w:rPr>
        <w:t>Include</w:t>
      </w:r>
      <w:r w:rsidR="00125FA6" w:rsidRPr="00A557F0">
        <w:rPr>
          <w:sz w:val="18"/>
        </w:rPr>
        <w:t>s</w:t>
      </w:r>
      <w:r w:rsidRPr="00A557F0">
        <w:rPr>
          <w:sz w:val="18"/>
        </w:rPr>
        <w:t xml:space="preserve"> Commonwealth Care</w:t>
      </w:r>
      <w:r w:rsidR="00125FA6" w:rsidRPr="00A557F0">
        <w:rPr>
          <w:sz w:val="18"/>
        </w:rPr>
        <w:t xml:space="preserve"> spending</w:t>
      </w:r>
      <w:r w:rsidRPr="00A557F0">
        <w:rPr>
          <w:sz w:val="18"/>
        </w:rPr>
        <w:t xml:space="preserve">. </w:t>
      </w:r>
    </w:p>
    <w:p w14:paraId="1C39AF9C" w14:textId="77777777" w:rsidR="001F2E72" w:rsidRPr="00A557F0" w:rsidRDefault="00C20FE8" w:rsidP="001F2E72">
      <w:pPr>
        <w:pStyle w:val="ListParagraph"/>
        <w:numPr>
          <w:ilvl w:val="0"/>
          <w:numId w:val="1"/>
        </w:numPr>
        <w:ind w:left="270" w:hanging="270"/>
        <w:rPr>
          <w:sz w:val="18"/>
        </w:rPr>
      </w:pPr>
      <w:r w:rsidRPr="00A557F0">
        <w:rPr>
          <w:sz w:val="18"/>
        </w:rPr>
        <w:t>In SHEA, out-of-pocket payments</w:t>
      </w:r>
      <w:r w:rsidR="00304D22" w:rsidRPr="00A557F0">
        <w:rPr>
          <w:sz w:val="18"/>
        </w:rPr>
        <w:t xml:space="preserve"> consist of both services and goods covered by insurance and those not covered by insurance.</w:t>
      </w:r>
    </w:p>
    <w:p w14:paraId="6C12BC20" w14:textId="77777777" w:rsidR="000025BF" w:rsidRPr="00A557F0" w:rsidRDefault="00E535D0" w:rsidP="00E535D0">
      <w:pPr>
        <w:pStyle w:val="ListParagraph"/>
        <w:numPr>
          <w:ilvl w:val="0"/>
          <w:numId w:val="1"/>
        </w:numPr>
        <w:ind w:left="270" w:hanging="270"/>
        <w:rPr>
          <w:sz w:val="18"/>
        </w:rPr>
      </w:pPr>
      <w:r w:rsidRPr="00A557F0">
        <w:rPr>
          <w:sz w:val="18"/>
        </w:rPr>
        <w:t>In SHEA, other public programs i</w:t>
      </w:r>
      <w:r w:rsidR="001F2E72" w:rsidRPr="00A557F0">
        <w:rPr>
          <w:sz w:val="18"/>
        </w:rPr>
        <w:t xml:space="preserve">ncludes Department of Defense (TRICARE), Department of Veterans Affairs, CHIP, </w:t>
      </w:r>
      <w:r w:rsidR="002B5195" w:rsidRPr="00A557F0">
        <w:rPr>
          <w:sz w:val="18"/>
        </w:rPr>
        <w:t>w</w:t>
      </w:r>
      <w:r w:rsidR="001F2E72" w:rsidRPr="00A557F0">
        <w:rPr>
          <w:sz w:val="18"/>
        </w:rPr>
        <w:t xml:space="preserve">orksite </w:t>
      </w:r>
      <w:r w:rsidR="002B5195" w:rsidRPr="00A557F0">
        <w:rPr>
          <w:sz w:val="18"/>
        </w:rPr>
        <w:t>h</w:t>
      </w:r>
      <w:r w:rsidR="001F2E72" w:rsidRPr="00A557F0">
        <w:rPr>
          <w:sz w:val="18"/>
        </w:rPr>
        <w:t xml:space="preserve">ealth </w:t>
      </w:r>
      <w:r w:rsidR="002B5195" w:rsidRPr="00A557F0">
        <w:rPr>
          <w:sz w:val="18"/>
        </w:rPr>
        <w:t>c</w:t>
      </w:r>
      <w:r w:rsidR="001F2E72" w:rsidRPr="00A557F0">
        <w:rPr>
          <w:sz w:val="18"/>
        </w:rPr>
        <w:t xml:space="preserve">are, Indian Health Services, </w:t>
      </w:r>
      <w:r w:rsidR="002B5195" w:rsidRPr="00A557F0">
        <w:rPr>
          <w:sz w:val="18"/>
        </w:rPr>
        <w:t>workers’ compensation</w:t>
      </w:r>
      <w:r w:rsidR="001F2E72" w:rsidRPr="00A557F0">
        <w:rPr>
          <w:sz w:val="18"/>
        </w:rPr>
        <w:t xml:space="preserve">, </w:t>
      </w:r>
      <w:r w:rsidR="002B5195" w:rsidRPr="00A557F0">
        <w:rPr>
          <w:sz w:val="18"/>
        </w:rPr>
        <w:t xml:space="preserve">state </w:t>
      </w:r>
      <w:r w:rsidR="001F2E72" w:rsidRPr="00A557F0">
        <w:rPr>
          <w:sz w:val="18"/>
        </w:rPr>
        <w:t>General Assistance</w:t>
      </w:r>
      <w:r w:rsidR="002B5195" w:rsidRPr="00A557F0">
        <w:rPr>
          <w:sz w:val="18"/>
        </w:rPr>
        <w:t xml:space="preserve"> programs</w:t>
      </w:r>
      <w:r w:rsidR="001F2E72" w:rsidRPr="00A557F0">
        <w:rPr>
          <w:sz w:val="18"/>
        </w:rPr>
        <w:t xml:space="preserve">, Maternal </w:t>
      </w:r>
      <w:r w:rsidR="002B5195" w:rsidRPr="00A557F0">
        <w:rPr>
          <w:sz w:val="18"/>
        </w:rPr>
        <w:t xml:space="preserve">and </w:t>
      </w:r>
      <w:r w:rsidR="001F2E72" w:rsidRPr="00A557F0">
        <w:rPr>
          <w:sz w:val="18"/>
        </w:rPr>
        <w:t>Child Health</w:t>
      </w:r>
      <w:r w:rsidR="002B5195" w:rsidRPr="00A557F0">
        <w:rPr>
          <w:sz w:val="18"/>
        </w:rPr>
        <w:t xml:space="preserve"> grants</w:t>
      </w:r>
      <w:r w:rsidR="001F2E72" w:rsidRPr="00A557F0">
        <w:rPr>
          <w:sz w:val="18"/>
        </w:rPr>
        <w:t xml:space="preserve">, </w:t>
      </w:r>
      <w:r w:rsidR="009D28AD" w:rsidRPr="00A557F0">
        <w:rPr>
          <w:sz w:val="18"/>
        </w:rPr>
        <w:t>v</w:t>
      </w:r>
      <w:r w:rsidR="001F2E72" w:rsidRPr="00A557F0">
        <w:rPr>
          <w:sz w:val="18"/>
        </w:rPr>
        <w:t xml:space="preserve">ocational </w:t>
      </w:r>
      <w:r w:rsidR="009D28AD" w:rsidRPr="00A557F0">
        <w:rPr>
          <w:sz w:val="18"/>
        </w:rPr>
        <w:t>r</w:t>
      </w:r>
      <w:r w:rsidR="001F2E72" w:rsidRPr="00A557F0">
        <w:rPr>
          <w:sz w:val="18"/>
        </w:rPr>
        <w:t xml:space="preserve">ehabilitation, Substance Abuse and Mental Health Services Administration, </w:t>
      </w:r>
      <w:r w:rsidR="00F07256" w:rsidRPr="00A557F0">
        <w:rPr>
          <w:sz w:val="18"/>
        </w:rPr>
        <w:t xml:space="preserve">and </w:t>
      </w:r>
      <w:r w:rsidR="002B5195" w:rsidRPr="00A557F0">
        <w:rPr>
          <w:sz w:val="18"/>
        </w:rPr>
        <w:t>school h</w:t>
      </w:r>
      <w:r w:rsidR="001F2E72" w:rsidRPr="00A557F0">
        <w:rPr>
          <w:sz w:val="18"/>
        </w:rPr>
        <w:t>ealth</w:t>
      </w:r>
      <w:r w:rsidR="00F07256" w:rsidRPr="00A557F0">
        <w:rPr>
          <w:sz w:val="18"/>
        </w:rPr>
        <w:t>.</w:t>
      </w:r>
    </w:p>
    <w:p w14:paraId="25C80A44" w14:textId="77777777" w:rsidR="00E535D0" w:rsidRPr="00A557F0" w:rsidRDefault="000025BF" w:rsidP="002E16F3">
      <w:pPr>
        <w:pStyle w:val="ListParagraph"/>
        <w:ind w:left="270"/>
        <w:rPr>
          <w:sz w:val="18"/>
        </w:rPr>
      </w:pPr>
      <w:r w:rsidRPr="00A557F0">
        <w:rPr>
          <w:sz w:val="18"/>
        </w:rPr>
        <w:t>Health care spending on government administration, government public health activities, non-commercial research, and investment in structures and equipment are excluded from SHEA.</w:t>
      </w:r>
    </w:p>
    <w:p w14:paraId="063EA940" w14:textId="77777777" w:rsidR="00E535D0" w:rsidRPr="00A557F0" w:rsidRDefault="00E535D0" w:rsidP="00E535D0">
      <w:pPr>
        <w:pStyle w:val="ListParagraph"/>
        <w:numPr>
          <w:ilvl w:val="0"/>
          <w:numId w:val="1"/>
        </w:numPr>
        <w:ind w:left="270" w:hanging="270"/>
        <w:rPr>
          <w:sz w:val="18"/>
        </w:rPr>
      </w:pPr>
      <w:r w:rsidRPr="00A557F0">
        <w:rPr>
          <w:sz w:val="18"/>
        </w:rPr>
        <w:t>Include</w:t>
      </w:r>
      <w:r w:rsidR="00E21489" w:rsidRPr="00A557F0">
        <w:rPr>
          <w:sz w:val="18"/>
        </w:rPr>
        <w:t>s</w:t>
      </w:r>
      <w:r w:rsidRPr="00A557F0">
        <w:rPr>
          <w:sz w:val="18"/>
        </w:rPr>
        <w:t xml:space="preserve"> expenditures for </w:t>
      </w:r>
      <w:r w:rsidR="00D27346" w:rsidRPr="00A557F0">
        <w:rPr>
          <w:sz w:val="18"/>
        </w:rPr>
        <w:t xml:space="preserve">the </w:t>
      </w:r>
      <w:r w:rsidRPr="00A557F0">
        <w:rPr>
          <w:sz w:val="18"/>
        </w:rPr>
        <w:t>Medical Security Program (MSP) and Veteran Affairs (VA). MSP provides health insurance coverage for Massachusetts residents who are receiving unemployment insurance benefits. The data is reported to CHIA by commercial payers. Health care expenditure data for Massachusetts residents</w:t>
      </w:r>
      <w:r w:rsidR="00E21489" w:rsidRPr="00A557F0">
        <w:rPr>
          <w:sz w:val="18"/>
        </w:rPr>
        <w:t xml:space="preserve"> with VA coverage are </w:t>
      </w:r>
      <w:r w:rsidRPr="00A557F0">
        <w:rPr>
          <w:sz w:val="18"/>
        </w:rPr>
        <w:t>available from the National Center for Veterans Analysis and Statistics.</w:t>
      </w:r>
    </w:p>
    <w:p w14:paraId="2CEFA7DC" w14:textId="77777777" w:rsidR="001F2E72" w:rsidRPr="00A557F0" w:rsidRDefault="00E535D0" w:rsidP="00700093">
      <w:pPr>
        <w:pStyle w:val="ListParagraph"/>
        <w:numPr>
          <w:ilvl w:val="0"/>
          <w:numId w:val="1"/>
        </w:numPr>
        <w:ind w:left="270" w:hanging="270"/>
        <w:rPr>
          <w:sz w:val="18"/>
        </w:rPr>
      </w:pPr>
      <w:r w:rsidRPr="00A557F0">
        <w:rPr>
          <w:sz w:val="18"/>
        </w:rPr>
        <w:t>In SHEA, other private revenues i</w:t>
      </w:r>
      <w:r w:rsidR="00700093" w:rsidRPr="00A557F0">
        <w:rPr>
          <w:sz w:val="18"/>
        </w:rPr>
        <w:t>nclude philanthropic funding and other non-patient revenues (e.g. revenues from the operation of gift shops and parking lots and investment income).</w:t>
      </w:r>
    </w:p>
    <w:p w14:paraId="010771D3" w14:textId="77777777" w:rsidR="0085528A" w:rsidRDefault="0085528A" w:rsidP="002B0814">
      <w:pPr>
        <w:rPr>
          <w:b/>
        </w:rPr>
      </w:pPr>
    </w:p>
    <w:p w14:paraId="15A66965" w14:textId="77777777" w:rsidR="002B0814" w:rsidRPr="00E06BEE" w:rsidRDefault="009C42E9" w:rsidP="002B0814">
      <w:pPr>
        <w:rPr>
          <w:b/>
        </w:rPr>
      </w:pPr>
      <w:r w:rsidRPr="00E06BEE">
        <w:rPr>
          <w:b/>
        </w:rPr>
        <w:lastRenderedPageBreak/>
        <w:t>Difference</w:t>
      </w:r>
      <w:r w:rsidR="002B0814" w:rsidRPr="00E06BEE">
        <w:rPr>
          <w:b/>
        </w:rPr>
        <w:t xml:space="preserve"> in Type</w:t>
      </w:r>
      <w:r w:rsidRPr="00E06BEE">
        <w:rPr>
          <w:b/>
        </w:rPr>
        <w:t>s</w:t>
      </w:r>
      <w:r w:rsidR="002B0814" w:rsidRPr="00E06BEE">
        <w:rPr>
          <w:b/>
        </w:rPr>
        <w:t xml:space="preserve"> of Service</w:t>
      </w:r>
      <w:r w:rsidRPr="00E06BEE">
        <w:rPr>
          <w:b/>
        </w:rPr>
        <w:t>s</w:t>
      </w:r>
    </w:p>
    <w:p w14:paraId="2C2614F2" w14:textId="77777777" w:rsidR="002B0814" w:rsidRPr="00E06BEE" w:rsidRDefault="002B0814" w:rsidP="002B0814">
      <w:r w:rsidRPr="00E06BEE">
        <w:t>THCE include</w:t>
      </w:r>
      <w:r w:rsidR="00700C90" w:rsidRPr="00E06BEE">
        <w:t>s</w:t>
      </w:r>
      <w:r w:rsidRPr="00E06BEE">
        <w:t xml:space="preserve"> spending for all types of medical expenses covered by a </w:t>
      </w:r>
      <w:r w:rsidRPr="00851D83">
        <w:t>member’s</w:t>
      </w:r>
      <w:r w:rsidRPr="00E06BEE">
        <w:t xml:space="preserve"> </w:t>
      </w:r>
      <w:r w:rsidR="00D27346">
        <w:t xml:space="preserve">health insurance </w:t>
      </w:r>
      <w:r w:rsidRPr="00E06BEE">
        <w:t xml:space="preserve">benefits, including, but not limited to, hospital inpatient, hospital outpatient, sub-acute </w:t>
      </w:r>
      <w:r w:rsidR="00AA72A5">
        <w:t xml:space="preserve">care </w:t>
      </w:r>
      <w:r w:rsidRPr="00E06BEE">
        <w:t>such as skilled nursing and rehabilitation, professional services (physicians and a</w:t>
      </w:r>
      <w:r w:rsidR="00AA6562" w:rsidRPr="00E06BEE">
        <w:t xml:space="preserve">ll other health professionals), </w:t>
      </w:r>
      <w:r w:rsidRPr="00E06BEE">
        <w:t>pharmacy, mental and behavioral health and substance abuse, home health, durable medical equipment, laboratory, diagnostic imaging</w:t>
      </w:r>
      <w:r w:rsidR="00AA72A5">
        <w:t>,</w:t>
      </w:r>
      <w:r w:rsidRPr="00E06BEE">
        <w:t xml:space="preserve"> and alternative care such as </w:t>
      </w:r>
      <w:proofErr w:type="spellStart"/>
      <w:r w:rsidR="00AA72A5">
        <w:t>chiropracty</w:t>
      </w:r>
      <w:proofErr w:type="spellEnd"/>
      <w:r w:rsidR="00AA72A5">
        <w:t xml:space="preserve"> </w:t>
      </w:r>
      <w:r w:rsidRPr="00E06BEE">
        <w:t>and acupuncture</w:t>
      </w:r>
      <w:r w:rsidR="00AA72A5">
        <w:t>.</w:t>
      </w:r>
      <w:r w:rsidRPr="00E06BEE">
        <w:t xml:space="preserve"> </w:t>
      </w:r>
      <w:r w:rsidR="00AA72A5">
        <w:t>THCE also includes n</w:t>
      </w:r>
      <w:r w:rsidRPr="00E06BEE">
        <w:t>on-claim</w:t>
      </w:r>
      <w:r w:rsidR="00AA72A5">
        <w:t>s</w:t>
      </w:r>
      <w:r w:rsidRPr="00E06BEE">
        <w:t xml:space="preserve"> based payments </w:t>
      </w:r>
      <w:r w:rsidR="00AA72A5">
        <w:t xml:space="preserve">to health care providers </w:t>
      </w:r>
      <w:r w:rsidRPr="00E06BEE">
        <w:t>(e.g.</w:t>
      </w:r>
      <w:r w:rsidR="00AA72A5">
        <w:t>,</w:t>
      </w:r>
      <w:r w:rsidRPr="00E06BEE">
        <w:t xml:space="preserve"> payments for quality </w:t>
      </w:r>
      <w:r w:rsidR="00D27346">
        <w:t xml:space="preserve">or financial </w:t>
      </w:r>
      <w:r w:rsidRPr="00E06BEE">
        <w:t>performance, infrastructure, and care management)</w:t>
      </w:r>
      <w:r w:rsidR="00AA72A5">
        <w:t>.</w:t>
      </w:r>
    </w:p>
    <w:p w14:paraId="4BFE514E" w14:textId="77777777" w:rsidR="00F07256" w:rsidRDefault="002B0814" w:rsidP="002B0814">
      <w:r w:rsidRPr="00E06BEE">
        <w:t>SHEA include</w:t>
      </w:r>
      <w:r w:rsidR="00700C90" w:rsidRPr="00E06BEE">
        <w:t>s</w:t>
      </w:r>
      <w:r w:rsidRPr="00E06BEE">
        <w:t xml:space="preserve"> hospital </w:t>
      </w:r>
      <w:r w:rsidR="00F07256">
        <w:t xml:space="preserve">inpatient and outpatient </w:t>
      </w:r>
      <w:r w:rsidRPr="00E06BEE">
        <w:t xml:space="preserve">care, physician and clinical services, freestanding home health care, freestanding nursing home care, other professional services, durable medical products, dental services, drugs and other medical non-durables, and other health, residential, and personal care services (e.g. school health, worksite health care, residential mental health and substance abuse facilities, </w:t>
      </w:r>
      <w:r w:rsidR="00955CE9" w:rsidRPr="00E06BEE">
        <w:t xml:space="preserve">ambulance services, </w:t>
      </w:r>
      <w:r w:rsidRPr="00E06BEE">
        <w:t>and other types of health care provided in non-traditional settings).</w:t>
      </w:r>
      <w:r w:rsidRPr="00E06BEE">
        <w:rPr>
          <w:rStyle w:val="FootnoteReference"/>
        </w:rPr>
        <w:footnoteReference w:id="10"/>
      </w:r>
      <w:r w:rsidR="00F07256">
        <w:t xml:space="preserve"> </w:t>
      </w:r>
      <w:r w:rsidR="00E82F61" w:rsidRPr="00E06BEE">
        <w:t xml:space="preserve">The primary data sources for SHEA are industry and U.S. Census Bureau surveys of providers, supplemented by claims-level </w:t>
      </w:r>
      <w:r w:rsidR="00730649" w:rsidRPr="00E06BEE">
        <w:t xml:space="preserve">and </w:t>
      </w:r>
      <w:r w:rsidR="00E066D1" w:rsidRPr="00E06BEE">
        <w:t>program spending</w:t>
      </w:r>
      <w:r w:rsidR="00730649" w:rsidRPr="00E06BEE">
        <w:t xml:space="preserve"> </w:t>
      </w:r>
      <w:r w:rsidR="00E82F61" w:rsidRPr="00E06BEE">
        <w:t>data from CMS</w:t>
      </w:r>
      <w:r w:rsidR="00E20C6A">
        <w:t>,</w:t>
      </w:r>
      <w:r w:rsidR="00E82F61" w:rsidRPr="00E06BEE">
        <w:t xml:space="preserve"> </w:t>
      </w:r>
      <w:r w:rsidR="00E066D1" w:rsidRPr="00E06BEE">
        <w:t>as well as program and budgetary data for other state and federal expenditures</w:t>
      </w:r>
      <w:r w:rsidR="00E82F61" w:rsidRPr="00E06BEE">
        <w:t>.</w:t>
      </w:r>
    </w:p>
    <w:p w14:paraId="7682072B" w14:textId="77777777" w:rsidR="002B0814" w:rsidRDefault="00F07256" w:rsidP="002B0814">
      <w:r>
        <w:t xml:space="preserve">THCE and SHEA </w:t>
      </w:r>
      <w:r w:rsidR="008235BC">
        <w:t xml:space="preserve">generally </w:t>
      </w:r>
      <w:r>
        <w:t>cover similar types of services</w:t>
      </w:r>
      <w:r w:rsidR="006253F0">
        <w:t>;</w:t>
      </w:r>
      <w:r>
        <w:t xml:space="preserve"> </w:t>
      </w:r>
      <w:r w:rsidR="008235BC">
        <w:t>however</w:t>
      </w:r>
      <w:r w:rsidR="006253F0">
        <w:t>,</w:t>
      </w:r>
      <w:r w:rsidR="008235BC">
        <w:t xml:space="preserve"> SHEA is a broader measure that includes estimates of all household spending for health services. </w:t>
      </w:r>
      <w:r w:rsidR="002E16F3">
        <w:t xml:space="preserve"> THCE only contains the spending information for services, medic</w:t>
      </w:r>
      <w:r w:rsidR="006253F0">
        <w:t>ations</w:t>
      </w:r>
      <w:r w:rsidR="002E16F3">
        <w:t>, and equipment that are covered by health insurance</w:t>
      </w:r>
      <w:r w:rsidR="00F64801">
        <w:t>.</w:t>
      </w:r>
      <w:r w:rsidR="00E82F61" w:rsidRPr="00E06BEE">
        <w:t xml:space="preserve"> </w:t>
      </w:r>
    </w:p>
    <w:p w14:paraId="7559FF71" w14:textId="77777777" w:rsidR="006A5CC8" w:rsidRPr="00E06BEE" w:rsidRDefault="006A5CC8" w:rsidP="002B0814"/>
    <w:p w14:paraId="18A997F3" w14:textId="77777777" w:rsidR="002B0814" w:rsidRPr="00E06BEE" w:rsidRDefault="002B0814" w:rsidP="00A557F0">
      <w:pPr>
        <w:spacing w:after="0"/>
        <w:rPr>
          <w:rFonts w:eastAsia="Calibri" w:cs="Times New Roman"/>
          <w:b/>
        </w:rPr>
      </w:pPr>
      <w:r w:rsidRPr="00E06BEE">
        <w:rPr>
          <w:rFonts w:eastAsia="Calibri" w:cs="Times New Roman"/>
          <w:b/>
        </w:rPr>
        <w:t xml:space="preserve">Table 2. </w:t>
      </w:r>
      <w:r w:rsidR="009C42E9" w:rsidRPr="00E06BEE">
        <w:rPr>
          <w:rFonts w:eastAsia="Calibri" w:cs="Times New Roman"/>
          <w:b/>
        </w:rPr>
        <w:t xml:space="preserve">Comparison of </w:t>
      </w:r>
      <w:r w:rsidRPr="00E06BEE">
        <w:rPr>
          <w:rFonts w:eastAsia="Calibri" w:cs="Times New Roman"/>
          <w:b/>
        </w:rPr>
        <w:t>Types of Service</w:t>
      </w:r>
      <w:r w:rsidR="009C42E9" w:rsidRPr="00E06BEE">
        <w:rPr>
          <w:rFonts w:eastAsia="Calibri" w:cs="Times New Roman"/>
          <w:b/>
        </w:rPr>
        <w:t>s</w:t>
      </w:r>
      <w:r w:rsidR="008D266C" w:rsidRPr="00E06BEE">
        <w:rPr>
          <w:rFonts w:eastAsia="Calibri" w:cs="Times New Roman"/>
          <w:b/>
        </w:rPr>
        <w:t xml:space="preserve"> and Data Sources</w:t>
      </w:r>
    </w:p>
    <w:tbl>
      <w:tblPr>
        <w:tblStyle w:val="LightList-Accent1"/>
        <w:tblW w:w="5000" w:type="pct"/>
        <w:tblLook w:val="00A0" w:firstRow="1" w:lastRow="0" w:firstColumn="1" w:lastColumn="0" w:noHBand="0" w:noVBand="0"/>
      </w:tblPr>
      <w:tblGrid>
        <w:gridCol w:w="2808"/>
        <w:gridCol w:w="3384"/>
        <w:gridCol w:w="3384"/>
      </w:tblGrid>
      <w:tr w:rsidR="002B0814" w:rsidRPr="00E06BEE" w14:paraId="758B6F4F" w14:textId="77777777" w:rsidTr="009C1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pct"/>
          </w:tcPr>
          <w:p w14:paraId="3D370F88" w14:textId="77777777" w:rsidR="002B0814" w:rsidRPr="00E06BEE" w:rsidRDefault="002B0814" w:rsidP="00A557F0">
            <w:pPr>
              <w:rPr>
                <w:rFonts w:eastAsia="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767" w:type="pct"/>
          </w:tcPr>
          <w:p w14:paraId="045BAE79" w14:textId="77777777" w:rsidR="002B0814" w:rsidRDefault="002B0814" w:rsidP="00A557F0">
            <w:pPr>
              <w:jc w:val="center"/>
              <w:rPr>
                <w:rFonts w:eastAsia="Times New Roman" w:cs="Times New Roman"/>
                <w:bCs w:val="0"/>
                <w:sz w:val="20"/>
              </w:rPr>
            </w:pPr>
            <w:r w:rsidRPr="00E06BEE">
              <w:rPr>
                <w:rFonts w:eastAsia="Times New Roman" w:cs="Times New Roman"/>
                <w:bCs w:val="0"/>
                <w:sz w:val="20"/>
              </w:rPr>
              <w:t>THCE</w:t>
            </w:r>
          </w:p>
          <w:p w14:paraId="4C41182C" w14:textId="77777777" w:rsidR="00C45AF3" w:rsidRPr="00E06BEE" w:rsidRDefault="00C45AF3" w:rsidP="00A557F0">
            <w:pPr>
              <w:jc w:val="center"/>
              <w:rPr>
                <w:rFonts w:eastAsia="Times New Roman" w:cs="Times New Roman"/>
                <w:sz w:val="20"/>
              </w:rPr>
            </w:pPr>
            <w:r w:rsidRPr="00C45AF3">
              <w:rPr>
                <w:rFonts w:eastAsia="Times New Roman" w:cs="Times New Roman"/>
                <w:bCs w:val="0"/>
                <w:sz w:val="18"/>
              </w:rPr>
              <w:t>(published annually by CHIA)</w:t>
            </w:r>
          </w:p>
        </w:tc>
        <w:tc>
          <w:tcPr>
            <w:tcW w:w="1767" w:type="pct"/>
          </w:tcPr>
          <w:p w14:paraId="78491D02" w14:textId="77777777" w:rsidR="002B0814" w:rsidRDefault="002B0814" w:rsidP="00A557F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vertAlign w:val="superscript"/>
              </w:rPr>
            </w:pPr>
            <w:r w:rsidRPr="00E06BEE">
              <w:rPr>
                <w:rFonts w:eastAsia="Times New Roman" w:cs="Times New Roman"/>
                <w:sz w:val="20"/>
              </w:rPr>
              <w:t>SHEA</w:t>
            </w:r>
            <w:r w:rsidR="008C6533" w:rsidRPr="00E06BEE">
              <w:rPr>
                <w:rFonts w:eastAsia="Times New Roman" w:cs="Times New Roman"/>
                <w:sz w:val="20"/>
                <w:vertAlign w:val="superscript"/>
              </w:rPr>
              <w:t>1</w:t>
            </w:r>
          </w:p>
          <w:p w14:paraId="27EACB71" w14:textId="77777777" w:rsidR="00C45AF3" w:rsidRPr="00C45AF3" w:rsidRDefault="00C45AF3" w:rsidP="00A557F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C45AF3">
              <w:rPr>
                <w:rFonts w:eastAsia="Times New Roman" w:cs="Times New Roman"/>
                <w:sz w:val="18"/>
              </w:rPr>
              <w:t>(published every 5 years by CMS)</w:t>
            </w:r>
          </w:p>
        </w:tc>
      </w:tr>
      <w:tr w:rsidR="00CD51CA" w:rsidRPr="00E06BEE" w14:paraId="67E3EA17" w14:textId="77777777" w:rsidTr="009C1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pct"/>
          </w:tcPr>
          <w:p w14:paraId="013A31EC" w14:textId="77777777" w:rsidR="002B0814" w:rsidRPr="00E06BEE" w:rsidRDefault="002B0814" w:rsidP="00A557F0">
            <w:pPr>
              <w:jc w:val="center"/>
              <w:rPr>
                <w:rFonts w:eastAsia="Times New Roman" w:cs="Times New Roman"/>
                <w:color w:val="000000"/>
                <w:sz w:val="20"/>
              </w:rPr>
            </w:pPr>
            <w:r w:rsidRPr="00E06BEE">
              <w:rPr>
                <w:rFonts w:eastAsia="Times New Roman" w:cs="Times New Roman"/>
                <w:color w:val="000000"/>
                <w:sz w:val="20"/>
              </w:rPr>
              <w:t xml:space="preserve">Hospital </w:t>
            </w:r>
            <w:r w:rsidR="00F07256">
              <w:rPr>
                <w:rFonts w:eastAsia="Times New Roman" w:cs="Times New Roman"/>
                <w:color w:val="000000"/>
                <w:sz w:val="20"/>
              </w:rPr>
              <w:t xml:space="preserve">Inpatient and Outpatient </w:t>
            </w:r>
            <w:r w:rsidRPr="00E06BEE">
              <w:rPr>
                <w:rFonts w:eastAsia="Times New Roman" w:cs="Times New Roman"/>
                <w:color w:val="000000"/>
                <w:sz w:val="20"/>
              </w:rPr>
              <w:t>Care</w:t>
            </w:r>
          </w:p>
        </w:tc>
        <w:tc>
          <w:tcPr>
            <w:cnfStyle w:val="000010000000" w:firstRow="0" w:lastRow="0" w:firstColumn="0" w:lastColumn="0" w:oddVBand="1" w:evenVBand="0" w:oddHBand="0" w:evenHBand="0" w:firstRowFirstColumn="0" w:firstRowLastColumn="0" w:lastRowFirstColumn="0" w:lastRowLastColumn="0"/>
            <w:tcW w:w="1767" w:type="pct"/>
          </w:tcPr>
          <w:p w14:paraId="3099E6E7" w14:textId="77777777" w:rsidR="002B0814" w:rsidRPr="00E06BEE" w:rsidRDefault="00E066D1" w:rsidP="00A557F0">
            <w:pPr>
              <w:jc w:val="center"/>
              <w:rPr>
                <w:rFonts w:eastAsia="Calibri" w:cs="Times New Roman"/>
                <w:sz w:val="20"/>
              </w:rPr>
            </w:pPr>
            <w:r w:rsidRPr="00E06BEE">
              <w:rPr>
                <w:rFonts w:eastAsia="Calibri" w:cs="Times New Roman"/>
                <w:sz w:val="20"/>
              </w:rPr>
              <w:t xml:space="preserve">Annually </w:t>
            </w:r>
            <w:r w:rsidR="009B6F26" w:rsidRPr="00E06BEE">
              <w:rPr>
                <w:rFonts w:eastAsia="Calibri" w:cs="Times New Roman"/>
                <w:sz w:val="20"/>
              </w:rPr>
              <w:t xml:space="preserve">reported </w:t>
            </w:r>
            <w:r w:rsidRPr="00E06BEE">
              <w:rPr>
                <w:rFonts w:eastAsia="Calibri" w:cs="Times New Roman"/>
                <w:sz w:val="20"/>
              </w:rPr>
              <w:t xml:space="preserve">to </w:t>
            </w:r>
            <w:r w:rsidR="009B6F26" w:rsidRPr="00E06BEE">
              <w:rPr>
                <w:rFonts w:eastAsia="Calibri" w:cs="Times New Roman"/>
                <w:sz w:val="20"/>
              </w:rPr>
              <w:t>CHIA</w:t>
            </w:r>
            <w:r w:rsidRPr="00E06BEE">
              <w:rPr>
                <w:rFonts w:eastAsia="Calibri" w:cs="Times New Roman"/>
                <w:sz w:val="20"/>
              </w:rPr>
              <w:t xml:space="preserve"> by commercial and public payers</w:t>
            </w:r>
          </w:p>
        </w:tc>
        <w:tc>
          <w:tcPr>
            <w:tcW w:w="1767" w:type="pct"/>
          </w:tcPr>
          <w:p w14:paraId="1B3C004A" w14:textId="77777777" w:rsidR="002B0814" w:rsidRPr="00E06BEE" w:rsidRDefault="00F07256" w:rsidP="00A557F0">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E06BEE">
              <w:rPr>
                <w:rFonts w:eastAsia="Calibri" w:cs="Times New Roman"/>
                <w:sz w:val="20"/>
              </w:rPr>
              <w:t xml:space="preserve"> </w:t>
            </w:r>
            <w:r w:rsidR="008D266C" w:rsidRPr="00E06BEE">
              <w:rPr>
                <w:rFonts w:eastAsia="Calibri" w:cs="Times New Roman"/>
                <w:sz w:val="20"/>
              </w:rPr>
              <w:t>American Hospital Association</w:t>
            </w:r>
            <w:r>
              <w:t xml:space="preserve"> </w:t>
            </w:r>
            <w:r>
              <w:rPr>
                <w:rFonts w:eastAsia="Calibri" w:cs="Times New Roman"/>
                <w:sz w:val="20"/>
              </w:rPr>
              <w:t>Annual Survey of Hospitals</w:t>
            </w:r>
            <w:r w:rsidR="008D266C" w:rsidRPr="00E06BEE">
              <w:rPr>
                <w:rFonts w:eastAsia="Calibri" w:cs="Times New Roman"/>
                <w:sz w:val="20"/>
              </w:rPr>
              <w:t xml:space="preserve">; </w:t>
            </w:r>
            <w:r w:rsidR="009C1414" w:rsidRPr="00E06BEE">
              <w:rPr>
                <w:rFonts w:eastAsia="Calibri" w:cs="Times New Roman"/>
                <w:sz w:val="20"/>
              </w:rPr>
              <w:t>Economic Census</w:t>
            </w:r>
            <w:r w:rsidR="008C6533" w:rsidRPr="00E06BEE">
              <w:rPr>
                <w:rFonts w:eastAsia="Calibri" w:cs="Times New Roman"/>
                <w:sz w:val="20"/>
                <w:vertAlign w:val="superscript"/>
              </w:rPr>
              <w:t>2</w:t>
            </w:r>
            <w:r w:rsidR="008D266C" w:rsidRPr="00E06BEE">
              <w:rPr>
                <w:rFonts w:eastAsia="Calibri" w:cs="Times New Roman"/>
                <w:sz w:val="20"/>
              </w:rPr>
              <w:t xml:space="preserve"> (U.S. Census Bureau)</w:t>
            </w:r>
          </w:p>
        </w:tc>
      </w:tr>
      <w:tr w:rsidR="002B0814" w:rsidRPr="00E06BEE" w14:paraId="71289BA1" w14:textId="77777777" w:rsidTr="009C1414">
        <w:tc>
          <w:tcPr>
            <w:cnfStyle w:val="001000000000" w:firstRow="0" w:lastRow="0" w:firstColumn="1" w:lastColumn="0" w:oddVBand="0" w:evenVBand="0" w:oddHBand="0" w:evenHBand="0" w:firstRowFirstColumn="0" w:firstRowLastColumn="0" w:lastRowFirstColumn="0" w:lastRowLastColumn="0"/>
            <w:tcW w:w="1466" w:type="pct"/>
          </w:tcPr>
          <w:p w14:paraId="2D985653" w14:textId="77777777" w:rsidR="002B0814" w:rsidRPr="00E06BEE" w:rsidRDefault="002B0814" w:rsidP="00A557F0">
            <w:pPr>
              <w:jc w:val="center"/>
              <w:rPr>
                <w:rFonts w:eastAsia="Times New Roman" w:cs="Times New Roman"/>
                <w:color w:val="000000"/>
                <w:sz w:val="20"/>
              </w:rPr>
            </w:pPr>
            <w:r w:rsidRPr="00E06BEE">
              <w:rPr>
                <w:rFonts w:eastAsia="Times New Roman" w:cs="Times New Roman"/>
                <w:color w:val="000000"/>
                <w:sz w:val="20"/>
              </w:rPr>
              <w:t>Physician and Other Clinical Services</w:t>
            </w:r>
          </w:p>
        </w:tc>
        <w:tc>
          <w:tcPr>
            <w:cnfStyle w:val="000010000000" w:firstRow="0" w:lastRow="0" w:firstColumn="0" w:lastColumn="0" w:oddVBand="1" w:evenVBand="0" w:oddHBand="0" w:evenHBand="0" w:firstRowFirstColumn="0" w:firstRowLastColumn="0" w:lastRowFirstColumn="0" w:lastRowLastColumn="0"/>
            <w:tcW w:w="1767" w:type="pct"/>
          </w:tcPr>
          <w:p w14:paraId="483487C4" w14:textId="77777777" w:rsidR="002B0814" w:rsidRPr="00E06BEE" w:rsidRDefault="00E066D1" w:rsidP="00A557F0">
            <w:pPr>
              <w:jc w:val="center"/>
              <w:rPr>
                <w:rFonts w:eastAsia="Calibri" w:cs="Times New Roman"/>
                <w:sz w:val="20"/>
              </w:rPr>
            </w:pPr>
            <w:r w:rsidRPr="00E06BEE">
              <w:rPr>
                <w:rFonts w:eastAsia="Calibri" w:cs="Times New Roman"/>
                <w:sz w:val="20"/>
              </w:rPr>
              <w:t>Annually reported to CHIA by commercial and public payers</w:t>
            </w:r>
          </w:p>
        </w:tc>
        <w:tc>
          <w:tcPr>
            <w:tcW w:w="1767" w:type="pct"/>
          </w:tcPr>
          <w:p w14:paraId="22494D56" w14:textId="77777777" w:rsidR="002B0814" w:rsidRPr="00E06BEE" w:rsidRDefault="008D266C" w:rsidP="00A557F0">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E06BEE">
              <w:rPr>
                <w:rFonts w:eastAsia="Calibri" w:cs="Times New Roman"/>
                <w:sz w:val="20"/>
              </w:rPr>
              <w:t>Service Annual Survey and Economic Census (U.S. Census Bureau)</w:t>
            </w:r>
          </w:p>
        </w:tc>
      </w:tr>
      <w:tr w:rsidR="00CD51CA" w:rsidRPr="00E06BEE" w14:paraId="7370D97A" w14:textId="77777777" w:rsidTr="009C1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pct"/>
          </w:tcPr>
          <w:p w14:paraId="3DE762F4" w14:textId="77777777" w:rsidR="002B0814" w:rsidRPr="00E06BEE" w:rsidRDefault="002B0814" w:rsidP="00A557F0">
            <w:pPr>
              <w:jc w:val="center"/>
              <w:rPr>
                <w:rFonts w:eastAsia="Times New Roman" w:cs="Times New Roman"/>
                <w:color w:val="000000"/>
                <w:sz w:val="20"/>
              </w:rPr>
            </w:pPr>
            <w:r w:rsidRPr="00E06BEE">
              <w:rPr>
                <w:rFonts w:eastAsia="Times New Roman" w:cs="Times New Roman"/>
                <w:color w:val="000000"/>
                <w:sz w:val="20"/>
              </w:rPr>
              <w:t>Other Professional Services</w:t>
            </w:r>
          </w:p>
        </w:tc>
        <w:tc>
          <w:tcPr>
            <w:cnfStyle w:val="000010000000" w:firstRow="0" w:lastRow="0" w:firstColumn="0" w:lastColumn="0" w:oddVBand="1" w:evenVBand="0" w:oddHBand="0" w:evenHBand="0" w:firstRowFirstColumn="0" w:firstRowLastColumn="0" w:lastRowFirstColumn="0" w:lastRowLastColumn="0"/>
            <w:tcW w:w="1767" w:type="pct"/>
          </w:tcPr>
          <w:p w14:paraId="70CC0108" w14:textId="77777777" w:rsidR="002B0814" w:rsidRPr="00E06BEE" w:rsidRDefault="00E066D1" w:rsidP="00A557F0">
            <w:pPr>
              <w:jc w:val="center"/>
              <w:rPr>
                <w:rFonts w:eastAsia="Calibri" w:cs="Times New Roman"/>
                <w:sz w:val="20"/>
              </w:rPr>
            </w:pPr>
            <w:r w:rsidRPr="00E06BEE">
              <w:rPr>
                <w:rFonts w:eastAsia="Calibri" w:cs="Times New Roman"/>
                <w:sz w:val="20"/>
              </w:rPr>
              <w:t>Annually reported to CHIA by commercial and public payers</w:t>
            </w:r>
          </w:p>
        </w:tc>
        <w:tc>
          <w:tcPr>
            <w:tcW w:w="1767" w:type="pct"/>
          </w:tcPr>
          <w:p w14:paraId="5D507A4E" w14:textId="77777777" w:rsidR="002B0814" w:rsidRPr="00E06BEE" w:rsidRDefault="008D266C" w:rsidP="00A557F0">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E06BEE">
              <w:rPr>
                <w:rFonts w:eastAsia="Calibri" w:cs="Times New Roman"/>
                <w:sz w:val="20"/>
              </w:rPr>
              <w:t xml:space="preserve">Service Annual Survey and </w:t>
            </w:r>
            <w:r w:rsidR="009C1414" w:rsidRPr="00E06BEE">
              <w:rPr>
                <w:rFonts w:eastAsia="Calibri" w:cs="Times New Roman"/>
                <w:sz w:val="20"/>
              </w:rPr>
              <w:t xml:space="preserve">Economic Census </w:t>
            </w:r>
            <w:r w:rsidRPr="00E06BEE">
              <w:rPr>
                <w:rFonts w:eastAsia="Calibri" w:cs="Times New Roman"/>
                <w:sz w:val="20"/>
              </w:rPr>
              <w:t xml:space="preserve"> (U.S. Census Bureau)</w:t>
            </w:r>
          </w:p>
        </w:tc>
      </w:tr>
      <w:tr w:rsidR="002B0814" w:rsidRPr="00E06BEE" w14:paraId="0A1CB516" w14:textId="77777777" w:rsidTr="009C1414">
        <w:tc>
          <w:tcPr>
            <w:cnfStyle w:val="001000000000" w:firstRow="0" w:lastRow="0" w:firstColumn="1" w:lastColumn="0" w:oddVBand="0" w:evenVBand="0" w:oddHBand="0" w:evenHBand="0" w:firstRowFirstColumn="0" w:firstRowLastColumn="0" w:lastRowFirstColumn="0" w:lastRowLastColumn="0"/>
            <w:tcW w:w="1466" w:type="pct"/>
          </w:tcPr>
          <w:p w14:paraId="4B5400AD" w14:textId="77777777" w:rsidR="002B0814" w:rsidRPr="00E06BEE" w:rsidRDefault="002B0814" w:rsidP="00A557F0">
            <w:pPr>
              <w:jc w:val="center"/>
              <w:rPr>
                <w:rFonts w:eastAsia="Times New Roman" w:cs="Times New Roman"/>
                <w:color w:val="000000"/>
                <w:sz w:val="20"/>
              </w:rPr>
            </w:pPr>
            <w:r w:rsidRPr="00E06BEE">
              <w:rPr>
                <w:rFonts w:eastAsia="Times New Roman" w:cs="Times New Roman"/>
                <w:color w:val="000000"/>
                <w:sz w:val="20"/>
              </w:rPr>
              <w:t>Other Health/Res</w:t>
            </w:r>
            <w:r w:rsidRPr="00E06BEE">
              <w:rPr>
                <w:rFonts w:eastAsia="Times New Roman" w:cs="Times New Roman"/>
                <w:bCs w:val="0"/>
                <w:color w:val="000000"/>
                <w:sz w:val="20"/>
              </w:rPr>
              <w:t>idential</w:t>
            </w:r>
            <w:r w:rsidRPr="00E06BEE">
              <w:rPr>
                <w:rFonts w:eastAsia="Times New Roman" w:cs="Times New Roman"/>
                <w:color w:val="000000"/>
                <w:sz w:val="20"/>
              </w:rPr>
              <w:t>/Personal Care</w:t>
            </w:r>
          </w:p>
        </w:tc>
        <w:tc>
          <w:tcPr>
            <w:cnfStyle w:val="000010000000" w:firstRow="0" w:lastRow="0" w:firstColumn="0" w:lastColumn="0" w:oddVBand="1" w:evenVBand="0" w:oddHBand="0" w:evenHBand="0" w:firstRowFirstColumn="0" w:firstRowLastColumn="0" w:lastRowFirstColumn="0" w:lastRowLastColumn="0"/>
            <w:tcW w:w="1767" w:type="pct"/>
          </w:tcPr>
          <w:p w14:paraId="70AAC14A" w14:textId="77777777" w:rsidR="002B0814" w:rsidRPr="00E06BEE" w:rsidRDefault="00E066D1" w:rsidP="00A557F0">
            <w:pPr>
              <w:jc w:val="center"/>
              <w:rPr>
                <w:rFonts w:eastAsia="Calibri" w:cs="Times New Roman"/>
                <w:sz w:val="20"/>
              </w:rPr>
            </w:pPr>
            <w:r w:rsidRPr="00E06BEE">
              <w:rPr>
                <w:rFonts w:eastAsia="Calibri" w:cs="Times New Roman"/>
                <w:sz w:val="20"/>
              </w:rPr>
              <w:t>Annually reported to CHIA by commercial and public payers</w:t>
            </w:r>
          </w:p>
        </w:tc>
        <w:tc>
          <w:tcPr>
            <w:tcW w:w="1767" w:type="pct"/>
          </w:tcPr>
          <w:p w14:paraId="61C628EB" w14:textId="77777777" w:rsidR="002B0814" w:rsidRPr="00E06BEE" w:rsidRDefault="008D266C" w:rsidP="00A557F0">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E06BEE">
              <w:rPr>
                <w:rFonts w:eastAsia="Calibri" w:cs="Times New Roman"/>
                <w:sz w:val="20"/>
              </w:rPr>
              <w:t xml:space="preserve">Service Annual Survey and Economic Census (U.S. Census Bureau); Program </w:t>
            </w:r>
            <w:r w:rsidR="00F07256">
              <w:rPr>
                <w:rFonts w:eastAsia="Calibri" w:cs="Times New Roman"/>
                <w:sz w:val="20"/>
              </w:rPr>
              <w:t>or</w:t>
            </w:r>
            <w:r w:rsidRPr="00E06BEE">
              <w:rPr>
                <w:rFonts w:eastAsia="Calibri" w:cs="Times New Roman"/>
                <w:sz w:val="20"/>
              </w:rPr>
              <w:t xml:space="preserve"> Budget data</w:t>
            </w:r>
          </w:p>
        </w:tc>
      </w:tr>
      <w:tr w:rsidR="00CD51CA" w:rsidRPr="00E06BEE" w14:paraId="56CB130D" w14:textId="77777777" w:rsidTr="009C1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pct"/>
          </w:tcPr>
          <w:p w14:paraId="0A5BCE2F" w14:textId="77777777" w:rsidR="002B0814" w:rsidRPr="00E06BEE" w:rsidRDefault="002B0814" w:rsidP="00A557F0">
            <w:pPr>
              <w:jc w:val="center"/>
              <w:rPr>
                <w:rFonts w:eastAsia="Times New Roman" w:cs="Times New Roman"/>
                <w:color w:val="000000"/>
                <w:sz w:val="20"/>
              </w:rPr>
            </w:pPr>
            <w:r w:rsidRPr="00E06BEE">
              <w:rPr>
                <w:rFonts w:eastAsia="Times New Roman" w:cs="Times New Roman"/>
                <w:color w:val="000000"/>
                <w:sz w:val="20"/>
              </w:rPr>
              <w:t>Home Health</w:t>
            </w:r>
          </w:p>
        </w:tc>
        <w:tc>
          <w:tcPr>
            <w:cnfStyle w:val="000010000000" w:firstRow="0" w:lastRow="0" w:firstColumn="0" w:lastColumn="0" w:oddVBand="1" w:evenVBand="0" w:oddHBand="0" w:evenHBand="0" w:firstRowFirstColumn="0" w:firstRowLastColumn="0" w:lastRowFirstColumn="0" w:lastRowLastColumn="0"/>
            <w:tcW w:w="1767" w:type="pct"/>
          </w:tcPr>
          <w:p w14:paraId="7F019598" w14:textId="77777777" w:rsidR="002B0814" w:rsidRPr="00E06BEE" w:rsidRDefault="00E066D1" w:rsidP="00A557F0">
            <w:pPr>
              <w:jc w:val="center"/>
              <w:rPr>
                <w:rFonts w:eastAsia="Calibri" w:cs="Times New Roman"/>
                <w:sz w:val="20"/>
              </w:rPr>
            </w:pPr>
            <w:r w:rsidRPr="00E06BEE">
              <w:rPr>
                <w:rFonts w:eastAsia="Calibri" w:cs="Times New Roman"/>
                <w:sz w:val="20"/>
              </w:rPr>
              <w:t>Annually reported to CHIA by commercial and public payers</w:t>
            </w:r>
          </w:p>
        </w:tc>
        <w:tc>
          <w:tcPr>
            <w:tcW w:w="1767" w:type="pct"/>
          </w:tcPr>
          <w:p w14:paraId="7AD4F515" w14:textId="77777777" w:rsidR="002B0814" w:rsidRPr="00E06BEE" w:rsidRDefault="008D266C" w:rsidP="00A557F0">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E06BEE">
              <w:rPr>
                <w:rFonts w:eastAsia="Calibri" w:cs="Times New Roman"/>
                <w:sz w:val="20"/>
              </w:rPr>
              <w:t>Service Annual Survey and Economic Census (U.S. Census Bureau)</w:t>
            </w:r>
          </w:p>
        </w:tc>
      </w:tr>
      <w:tr w:rsidR="009C1414" w:rsidRPr="00E06BEE" w14:paraId="235CEC62" w14:textId="77777777" w:rsidTr="009C1414">
        <w:tc>
          <w:tcPr>
            <w:cnfStyle w:val="001000000000" w:firstRow="0" w:lastRow="0" w:firstColumn="1" w:lastColumn="0" w:oddVBand="0" w:evenVBand="0" w:oddHBand="0" w:evenHBand="0" w:firstRowFirstColumn="0" w:firstRowLastColumn="0" w:lastRowFirstColumn="0" w:lastRowLastColumn="0"/>
            <w:tcW w:w="1466" w:type="pct"/>
          </w:tcPr>
          <w:p w14:paraId="47A6AD44" w14:textId="77777777" w:rsidR="009C1414" w:rsidRPr="00E06BEE" w:rsidRDefault="009C1414" w:rsidP="00A557F0">
            <w:pPr>
              <w:jc w:val="center"/>
              <w:rPr>
                <w:rFonts w:eastAsia="Times New Roman" w:cs="Times New Roman"/>
                <w:color w:val="000000"/>
                <w:sz w:val="20"/>
              </w:rPr>
            </w:pPr>
            <w:r w:rsidRPr="00E06BEE">
              <w:rPr>
                <w:rFonts w:eastAsia="Times New Roman" w:cs="Times New Roman"/>
                <w:color w:val="000000"/>
                <w:sz w:val="20"/>
              </w:rPr>
              <w:t>Nursing and Continuing Care</w:t>
            </w:r>
          </w:p>
        </w:tc>
        <w:tc>
          <w:tcPr>
            <w:cnfStyle w:val="000010000000" w:firstRow="0" w:lastRow="0" w:firstColumn="0" w:lastColumn="0" w:oddVBand="1" w:evenVBand="0" w:oddHBand="0" w:evenHBand="0" w:firstRowFirstColumn="0" w:firstRowLastColumn="0" w:lastRowFirstColumn="0" w:lastRowLastColumn="0"/>
            <w:tcW w:w="1767" w:type="pct"/>
          </w:tcPr>
          <w:p w14:paraId="6051F7D9" w14:textId="77777777" w:rsidR="009C1414" w:rsidRPr="00E06BEE" w:rsidRDefault="00E066D1" w:rsidP="00A557F0">
            <w:pPr>
              <w:jc w:val="center"/>
            </w:pPr>
            <w:r w:rsidRPr="00E06BEE">
              <w:rPr>
                <w:rFonts w:eastAsia="Calibri" w:cs="Times New Roman"/>
                <w:sz w:val="20"/>
              </w:rPr>
              <w:t>Annually reported to CHIA by commercial and public payers</w:t>
            </w:r>
          </w:p>
        </w:tc>
        <w:tc>
          <w:tcPr>
            <w:tcW w:w="1767" w:type="pct"/>
          </w:tcPr>
          <w:p w14:paraId="439E1A1F" w14:textId="77777777" w:rsidR="009C1414" w:rsidRPr="00E06BEE" w:rsidRDefault="009C1414" w:rsidP="00A557F0">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E06BEE">
              <w:rPr>
                <w:rFonts w:eastAsia="Calibri" w:cs="Times New Roman"/>
                <w:sz w:val="20"/>
              </w:rPr>
              <w:t>Service Annual Survey and Economic Census (U.S. Census Bureau)</w:t>
            </w:r>
          </w:p>
        </w:tc>
      </w:tr>
      <w:tr w:rsidR="009C1414" w:rsidRPr="00E06BEE" w14:paraId="62E19AC0" w14:textId="77777777" w:rsidTr="009C1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pct"/>
          </w:tcPr>
          <w:p w14:paraId="3EE52C44" w14:textId="77777777" w:rsidR="009C1414" w:rsidRPr="00E06BEE" w:rsidRDefault="009C1414" w:rsidP="00A557F0">
            <w:pPr>
              <w:jc w:val="center"/>
              <w:rPr>
                <w:rFonts w:eastAsia="Times New Roman" w:cs="Times New Roman"/>
                <w:color w:val="000000"/>
                <w:sz w:val="20"/>
              </w:rPr>
            </w:pPr>
            <w:r w:rsidRPr="00E06BEE">
              <w:rPr>
                <w:rFonts w:eastAsia="Times New Roman" w:cs="Times New Roman"/>
                <w:color w:val="000000"/>
                <w:sz w:val="20"/>
              </w:rPr>
              <w:lastRenderedPageBreak/>
              <w:t>Prescription Drugs</w:t>
            </w:r>
          </w:p>
        </w:tc>
        <w:tc>
          <w:tcPr>
            <w:cnfStyle w:val="000010000000" w:firstRow="0" w:lastRow="0" w:firstColumn="0" w:lastColumn="0" w:oddVBand="1" w:evenVBand="0" w:oddHBand="0" w:evenHBand="0" w:firstRowFirstColumn="0" w:firstRowLastColumn="0" w:lastRowFirstColumn="0" w:lastRowLastColumn="0"/>
            <w:tcW w:w="1767" w:type="pct"/>
          </w:tcPr>
          <w:p w14:paraId="78DFFD2C" w14:textId="77777777" w:rsidR="009C1414" w:rsidRPr="00E06BEE" w:rsidRDefault="00E066D1" w:rsidP="00A557F0">
            <w:pPr>
              <w:jc w:val="center"/>
            </w:pPr>
            <w:r w:rsidRPr="00E06BEE">
              <w:rPr>
                <w:rFonts w:eastAsia="Calibri" w:cs="Times New Roman"/>
                <w:sz w:val="20"/>
              </w:rPr>
              <w:t>Annually reported to CHIA by commercial and public payers</w:t>
            </w:r>
          </w:p>
        </w:tc>
        <w:tc>
          <w:tcPr>
            <w:tcW w:w="1767" w:type="pct"/>
          </w:tcPr>
          <w:p w14:paraId="44008455" w14:textId="77777777" w:rsidR="009C1414" w:rsidRPr="00E06BEE" w:rsidRDefault="009C1414" w:rsidP="00A557F0">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E06BEE">
              <w:rPr>
                <w:rFonts w:eastAsia="Calibri" w:cs="Times New Roman"/>
                <w:sz w:val="20"/>
              </w:rPr>
              <w:t>National Prescription Audit and Method of Payment Report (IMS Health) and Census of Retail Trade</w:t>
            </w:r>
            <w:r w:rsidR="008C6533" w:rsidRPr="00E06BEE">
              <w:rPr>
                <w:rFonts w:eastAsia="Calibri" w:cs="Times New Roman"/>
                <w:sz w:val="20"/>
                <w:vertAlign w:val="superscript"/>
              </w:rPr>
              <w:t>3</w:t>
            </w:r>
            <w:r w:rsidRPr="00E06BEE">
              <w:rPr>
                <w:rFonts w:eastAsia="Calibri" w:cs="Times New Roman"/>
                <w:sz w:val="20"/>
              </w:rPr>
              <w:t xml:space="preserve"> (U.S. Census Bureau)</w:t>
            </w:r>
          </w:p>
        </w:tc>
      </w:tr>
      <w:tr w:rsidR="002B0814" w:rsidRPr="00E06BEE" w14:paraId="16BA9FE2" w14:textId="77777777" w:rsidTr="009C1414">
        <w:tc>
          <w:tcPr>
            <w:cnfStyle w:val="001000000000" w:firstRow="0" w:lastRow="0" w:firstColumn="1" w:lastColumn="0" w:oddVBand="0" w:evenVBand="0" w:oddHBand="0" w:evenHBand="0" w:firstRowFirstColumn="0" w:firstRowLastColumn="0" w:lastRowFirstColumn="0" w:lastRowLastColumn="0"/>
            <w:tcW w:w="1466" w:type="pct"/>
          </w:tcPr>
          <w:p w14:paraId="03FAAAD8" w14:textId="77777777" w:rsidR="002B0814" w:rsidRPr="00E06BEE" w:rsidRDefault="002B0814" w:rsidP="00A557F0">
            <w:pPr>
              <w:jc w:val="center"/>
              <w:rPr>
                <w:rFonts w:eastAsia="Times New Roman" w:cs="Times New Roman"/>
                <w:color w:val="000000"/>
                <w:sz w:val="20"/>
              </w:rPr>
            </w:pPr>
            <w:r w:rsidRPr="00E06BEE">
              <w:rPr>
                <w:rFonts w:eastAsia="Times New Roman" w:cs="Times New Roman"/>
                <w:color w:val="000000"/>
                <w:sz w:val="20"/>
              </w:rPr>
              <w:t>Durable Medical Equipment</w:t>
            </w:r>
          </w:p>
        </w:tc>
        <w:tc>
          <w:tcPr>
            <w:cnfStyle w:val="000010000000" w:firstRow="0" w:lastRow="0" w:firstColumn="0" w:lastColumn="0" w:oddVBand="1" w:evenVBand="0" w:oddHBand="0" w:evenHBand="0" w:firstRowFirstColumn="0" w:firstRowLastColumn="0" w:lastRowFirstColumn="0" w:lastRowLastColumn="0"/>
            <w:tcW w:w="1767" w:type="pct"/>
          </w:tcPr>
          <w:p w14:paraId="4278D3F2" w14:textId="77777777" w:rsidR="002B0814" w:rsidRPr="00E06BEE" w:rsidRDefault="00E066D1" w:rsidP="00A557F0">
            <w:pPr>
              <w:jc w:val="center"/>
              <w:rPr>
                <w:rFonts w:eastAsia="Calibri" w:cs="Times New Roman"/>
                <w:sz w:val="20"/>
              </w:rPr>
            </w:pPr>
            <w:r w:rsidRPr="00E06BEE">
              <w:rPr>
                <w:rFonts w:eastAsia="Calibri" w:cs="Times New Roman"/>
                <w:sz w:val="20"/>
              </w:rPr>
              <w:t>Annually reported to CHIA by commercial and public payers</w:t>
            </w:r>
          </w:p>
        </w:tc>
        <w:tc>
          <w:tcPr>
            <w:tcW w:w="1767" w:type="pct"/>
          </w:tcPr>
          <w:p w14:paraId="3067BC96" w14:textId="77777777" w:rsidR="002B0814" w:rsidRPr="00E06BEE" w:rsidRDefault="008D266C" w:rsidP="00A557F0">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E06BEE">
              <w:rPr>
                <w:rFonts w:eastAsia="Calibri" w:cs="Times New Roman"/>
                <w:sz w:val="20"/>
              </w:rPr>
              <w:t>Input-Output Accounts</w:t>
            </w:r>
            <w:r w:rsidR="008C6533" w:rsidRPr="00E06BEE">
              <w:rPr>
                <w:rFonts w:eastAsia="Calibri" w:cs="Times New Roman"/>
                <w:sz w:val="20"/>
                <w:vertAlign w:val="superscript"/>
              </w:rPr>
              <w:t>4</w:t>
            </w:r>
            <w:r w:rsidRPr="00E06BEE">
              <w:rPr>
                <w:rFonts w:eastAsia="Calibri" w:cs="Times New Roman"/>
                <w:sz w:val="20"/>
              </w:rPr>
              <w:t xml:space="preserve"> and Consumer Expenditure Survey (Bureau of Economic Analysis) </w:t>
            </w:r>
          </w:p>
        </w:tc>
      </w:tr>
      <w:tr w:rsidR="00CD51CA" w:rsidRPr="00E06BEE" w14:paraId="4A8E5AE1" w14:textId="77777777" w:rsidTr="009C1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pct"/>
          </w:tcPr>
          <w:p w14:paraId="10946F54" w14:textId="77777777" w:rsidR="00CD51CA" w:rsidRPr="00E06BEE" w:rsidRDefault="00CD51CA" w:rsidP="00A557F0">
            <w:pPr>
              <w:jc w:val="center"/>
              <w:rPr>
                <w:rFonts w:eastAsia="Times New Roman" w:cs="Times New Roman"/>
                <w:color w:val="000000"/>
                <w:sz w:val="20"/>
              </w:rPr>
            </w:pPr>
            <w:r w:rsidRPr="00E06BEE">
              <w:rPr>
                <w:rFonts w:eastAsia="Times New Roman" w:cs="Times New Roman"/>
                <w:color w:val="000000"/>
                <w:sz w:val="20"/>
              </w:rPr>
              <w:t>Dental Services</w:t>
            </w:r>
          </w:p>
        </w:tc>
        <w:tc>
          <w:tcPr>
            <w:cnfStyle w:val="000010000000" w:firstRow="0" w:lastRow="0" w:firstColumn="0" w:lastColumn="0" w:oddVBand="1" w:evenVBand="0" w:oddHBand="0" w:evenHBand="0" w:firstRowFirstColumn="0" w:firstRowLastColumn="0" w:lastRowFirstColumn="0" w:lastRowLastColumn="0"/>
            <w:tcW w:w="1767" w:type="pct"/>
          </w:tcPr>
          <w:p w14:paraId="297FB545" w14:textId="77777777" w:rsidR="00CD51CA" w:rsidRPr="00E06BEE" w:rsidRDefault="00FC054B" w:rsidP="00CB0292">
            <w:pPr>
              <w:jc w:val="center"/>
              <w:rPr>
                <w:rFonts w:eastAsia="Calibri" w:cs="Times New Roman"/>
                <w:sz w:val="20"/>
              </w:rPr>
            </w:pPr>
            <w:r w:rsidRPr="00E06BEE">
              <w:rPr>
                <w:rFonts w:eastAsia="Calibri" w:cs="Times New Roman"/>
                <w:sz w:val="20"/>
              </w:rPr>
              <w:t>No data</w:t>
            </w:r>
            <w:r w:rsidR="00CB0292">
              <w:rPr>
                <w:rFonts w:eastAsia="Calibri" w:cs="Times New Roman"/>
                <w:sz w:val="20"/>
              </w:rPr>
              <w:t xml:space="preserve"> for dental insurance and individual out-of-pocket payments</w:t>
            </w:r>
          </w:p>
        </w:tc>
        <w:tc>
          <w:tcPr>
            <w:tcW w:w="1767" w:type="pct"/>
          </w:tcPr>
          <w:p w14:paraId="2359E40C" w14:textId="77777777" w:rsidR="00CD51CA" w:rsidRPr="00E06BEE" w:rsidRDefault="008D266C" w:rsidP="00A557F0">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E06BEE">
              <w:rPr>
                <w:rFonts w:eastAsia="Calibri" w:cs="Times New Roman"/>
                <w:sz w:val="20"/>
              </w:rPr>
              <w:t>Service Annual Survey and Economic Census (U.S. Census Bureau)</w:t>
            </w:r>
          </w:p>
        </w:tc>
      </w:tr>
      <w:tr w:rsidR="00CD51CA" w:rsidRPr="00E06BEE" w14:paraId="2710EF19" w14:textId="77777777" w:rsidTr="009C1414">
        <w:tc>
          <w:tcPr>
            <w:cnfStyle w:val="001000000000" w:firstRow="0" w:lastRow="0" w:firstColumn="1" w:lastColumn="0" w:oddVBand="0" w:evenVBand="0" w:oddHBand="0" w:evenHBand="0" w:firstRowFirstColumn="0" w:firstRowLastColumn="0" w:lastRowFirstColumn="0" w:lastRowLastColumn="0"/>
            <w:tcW w:w="1466" w:type="pct"/>
          </w:tcPr>
          <w:p w14:paraId="52413E42" w14:textId="77777777" w:rsidR="00CD51CA" w:rsidRPr="00E06BEE" w:rsidRDefault="00CD51CA" w:rsidP="00A557F0">
            <w:pPr>
              <w:jc w:val="center"/>
              <w:rPr>
                <w:rFonts w:eastAsia="Times New Roman" w:cs="Times New Roman"/>
                <w:bCs w:val="0"/>
                <w:color w:val="000000"/>
                <w:sz w:val="20"/>
              </w:rPr>
            </w:pPr>
            <w:r w:rsidRPr="00E06BEE">
              <w:rPr>
                <w:rFonts w:eastAsia="Times New Roman" w:cs="Times New Roman"/>
                <w:bCs w:val="0"/>
                <w:color w:val="000000"/>
                <w:sz w:val="20"/>
              </w:rPr>
              <w:t>Vision Care</w:t>
            </w:r>
          </w:p>
        </w:tc>
        <w:tc>
          <w:tcPr>
            <w:cnfStyle w:val="000010000000" w:firstRow="0" w:lastRow="0" w:firstColumn="0" w:lastColumn="0" w:oddVBand="1" w:evenVBand="0" w:oddHBand="0" w:evenHBand="0" w:firstRowFirstColumn="0" w:firstRowLastColumn="0" w:lastRowFirstColumn="0" w:lastRowLastColumn="0"/>
            <w:tcW w:w="1767" w:type="pct"/>
          </w:tcPr>
          <w:p w14:paraId="2BFE3F9F" w14:textId="77777777" w:rsidR="00CD51CA" w:rsidRPr="00E06BEE" w:rsidRDefault="00CB0292" w:rsidP="00A557F0">
            <w:pPr>
              <w:jc w:val="center"/>
              <w:rPr>
                <w:rFonts w:eastAsia="Calibri" w:cs="Times New Roman"/>
                <w:sz w:val="20"/>
              </w:rPr>
            </w:pPr>
            <w:r w:rsidRPr="00CB0292">
              <w:rPr>
                <w:rFonts w:eastAsia="Calibri" w:cs="Times New Roman"/>
                <w:sz w:val="20"/>
              </w:rPr>
              <w:t>No data for dental insurance and individual out-of-pocket payments</w:t>
            </w:r>
          </w:p>
        </w:tc>
        <w:tc>
          <w:tcPr>
            <w:tcW w:w="1767" w:type="pct"/>
          </w:tcPr>
          <w:p w14:paraId="53DB81D7" w14:textId="77777777" w:rsidR="00CD51CA" w:rsidRPr="00E06BEE" w:rsidRDefault="009C1414" w:rsidP="00A557F0">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E06BEE">
              <w:rPr>
                <w:rFonts w:eastAsia="Calibri" w:cs="Times New Roman"/>
                <w:sz w:val="20"/>
              </w:rPr>
              <w:t>Service Annual Survey and Economic Census (U.S. Census Bureau)</w:t>
            </w:r>
          </w:p>
        </w:tc>
      </w:tr>
      <w:tr w:rsidR="00CD51CA" w:rsidRPr="00E06BEE" w14:paraId="69CC6F01" w14:textId="77777777" w:rsidTr="009C1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pct"/>
          </w:tcPr>
          <w:p w14:paraId="4FB14B54" w14:textId="77777777" w:rsidR="002B0814" w:rsidRPr="00E06BEE" w:rsidRDefault="002B0814" w:rsidP="00A557F0">
            <w:pPr>
              <w:jc w:val="center"/>
              <w:rPr>
                <w:rFonts w:eastAsia="Times New Roman" w:cs="Times New Roman"/>
                <w:color w:val="000000"/>
                <w:sz w:val="20"/>
              </w:rPr>
            </w:pPr>
            <w:r w:rsidRPr="00E06BEE">
              <w:rPr>
                <w:rFonts w:eastAsia="Times New Roman" w:cs="Times New Roman"/>
                <w:color w:val="000000"/>
                <w:sz w:val="20"/>
              </w:rPr>
              <w:t>O</w:t>
            </w:r>
            <w:r w:rsidRPr="00E06BEE">
              <w:rPr>
                <w:rFonts w:eastAsia="Times New Roman" w:cs="Times New Roman"/>
                <w:bCs w:val="0"/>
                <w:color w:val="000000"/>
                <w:sz w:val="20"/>
              </w:rPr>
              <w:t>ver-</w:t>
            </w:r>
            <w:r w:rsidRPr="00E06BEE">
              <w:rPr>
                <w:rFonts w:eastAsia="Times New Roman" w:cs="Times New Roman"/>
                <w:color w:val="000000"/>
                <w:sz w:val="20"/>
              </w:rPr>
              <w:t>T</w:t>
            </w:r>
            <w:r w:rsidRPr="00E06BEE">
              <w:rPr>
                <w:rFonts w:eastAsia="Times New Roman" w:cs="Times New Roman"/>
                <w:bCs w:val="0"/>
                <w:color w:val="000000"/>
                <w:sz w:val="20"/>
              </w:rPr>
              <w:t>he-</w:t>
            </w:r>
            <w:r w:rsidRPr="00E06BEE">
              <w:rPr>
                <w:rFonts w:eastAsia="Times New Roman" w:cs="Times New Roman"/>
                <w:color w:val="000000"/>
                <w:sz w:val="20"/>
              </w:rPr>
              <w:t>C</w:t>
            </w:r>
            <w:r w:rsidRPr="00E06BEE">
              <w:rPr>
                <w:rFonts w:eastAsia="Times New Roman" w:cs="Times New Roman"/>
                <w:bCs w:val="0"/>
                <w:color w:val="000000"/>
                <w:sz w:val="20"/>
              </w:rPr>
              <w:t>ounter</w:t>
            </w:r>
            <w:r w:rsidRPr="00E06BEE">
              <w:rPr>
                <w:rFonts w:eastAsia="Times New Roman" w:cs="Times New Roman"/>
                <w:color w:val="000000"/>
                <w:sz w:val="20"/>
              </w:rPr>
              <w:t xml:space="preserve"> Medicines</w:t>
            </w:r>
            <w:r w:rsidR="00AF5FAF">
              <w:rPr>
                <w:rFonts w:eastAsia="Times New Roman" w:cs="Times New Roman"/>
                <w:color w:val="000000"/>
                <w:sz w:val="20"/>
              </w:rPr>
              <w:t xml:space="preserve"> and Non-Durable Medical Products</w:t>
            </w:r>
          </w:p>
        </w:tc>
        <w:tc>
          <w:tcPr>
            <w:cnfStyle w:val="000010000000" w:firstRow="0" w:lastRow="0" w:firstColumn="0" w:lastColumn="0" w:oddVBand="1" w:evenVBand="0" w:oddHBand="0" w:evenHBand="0" w:firstRowFirstColumn="0" w:firstRowLastColumn="0" w:lastRowFirstColumn="0" w:lastRowLastColumn="0"/>
            <w:tcW w:w="1767" w:type="pct"/>
          </w:tcPr>
          <w:p w14:paraId="5FA3A6A9" w14:textId="77777777" w:rsidR="002B0814" w:rsidRPr="00E06BEE" w:rsidRDefault="00FC054B" w:rsidP="00A557F0">
            <w:pPr>
              <w:jc w:val="center"/>
              <w:rPr>
                <w:rFonts w:eastAsia="Calibri" w:cs="Times New Roman"/>
                <w:sz w:val="20"/>
              </w:rPr>
            </w:pPr>
            <w:r w:rsidRPr="00E06BEE">
              <w:rPr>
                <w:rFonts w:eastAsia="Calibri" w:cs="Times New Roman"/>
                <w:sz w:val="20"/>
              </w:rPr>
              <w:t xml:space="preserve">No data </w:t>
            </w:r>
          </w:p>
        </w:tc>
        <w:tc>
          <w:tcPr>
            <w:tcW w:w="1767" w:type="pct"/>
          </w:tcPr>
          <w:p w14:paraId="243D96BC" w14:textId="77777777" w:rsidR="002B0814" w:rsidRPr="00E06BEE" w:rsidRDefault="008D266C" w:rsidP="00A557F0">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E06BEE">
              <w:rPr>
                <w:rFonts w:eastAsia="Calibri" w:cs="Times New Roman"/>
                <w:sz w:val="20"/>
              </w:rPr>
              <w:t>Annual Survey of Over-the-Counter Drugs (Kline &amp; Co.)</w:t>
            </w:r>
          </w:p>
        </w:tc>
      </w:tr>
    </w:tbl>
    <w:p w14:paraId="62CB68DB" w14:textId="77777777" w:rsidR="009C1414" w:rsidRPr="00A557F0" w:rsidRDefault="009C1414" w:rsidP="009C1414">
      <w:pPr>
        <w:spacing w:after="0"/>
        <w:rPr>
          <w:sz w:val="18"/>
          <w:szCs w:val="20"/>
        </w:rPr>
      </w:pPr>
      <w:r w:rsidRPr="00A557F0">
        <w:rPr>
          <w:sz w:val="18"/>
          <w:szCs w:val="20"/>
        </w:rPr>
        <w:t>Notes:</w:t>
      </w:r>
    </w:p>
    <w:p w14:paraId="30827E30" w14:textId="77777777" w:rsidR="008C6533" w:rsidRPr="00A557F0" w:rsidRDefault="00FC054B" w:rsidP="008C6533">
      <w:pPr>
        <w:pStyle w:val="ListParagraph"/>
        <w:numPr>
          <w:ilvl w:val="0"/>
          <w:numId w:val="3"/>
        </w:numPr>
        <w:spacing w:after="0"/>
        <w:rPr>
          <w:sz w:val="18"/>
          <w:szCs w:val="20"/>
        </w:rPr>
      </w:pPr>
      <w:r w:rsidRPr="00A557F0">
        <w:rPr>
          <w:sz w:val="18"/>
          <w:szCs w:val="20"/>
        </w:rPr>
        <w:t xml:space="preserve">Includes </w:t>
      </w:r>
      <w:r w:rsidR="008C6533" w:rsidRPr="00A557F0">
        <w:rPr>
          <w:sz w:val="18"/>
          <w:szCs w:val="20"/>
        </w:rPr>
        <w:t xml:space="preserve">Medicare </w:t>
      </w:r>
      <w:r w:rsidRPr="00A557F0">
        <w:rPr>
          <w:sz w:val="18"/>
          <w:szCs w:val="20"/>
        </w:rPr>
        <w:t>data collected from CMS claims</w:t>
      </w:r>
      <w:r w:rsidR="006253F0">
        <w:rPr>
          <w:sz w:val="18"/>
          <w:szCs w:val="20"/>
        </w:rPr>
        <w:t>,</w:t>
      </w:r>
      <w:r w:rsidRPr="00A557F0">
        <w:rPr>
          <w:sz w:val="18"/>
          <w:szCs w:val="20"/>
        </w:rPr>
        <w:t xml:space="preserve"> </w:t>
      </w:r>
      <w:r w:rsidR="008C6533" w:rsidRPr="00A557F0">
        <w:rPr>
          <w:sz w:val="18"/>
          <w:szCs w:val="20"/>
        </w:rPr>
        <w:t>Medicaid data collected from Quarterly Expense Report</w:t>
      </w:r>
      <w:r w:rsidR="00E20C6A" w:rsidRPr="00A557F0">
        <w:rPr>
          <w:sz w:val="18"/>
          <w:szCs w:val="20"/>
        </w:rPr>
        <w:t>s</w:t>
      </w:r>
      <w:r w:rsidR="008C6533" w:rsidRPr="00A557F0">
        <w:rPr>
          <w:sz w:val="18"/>
          <w:szCs w:val="20"/>
        </w:rPr>
        <w:t xml:space="preserve"> (CMS-64 form) and Medicaid Analytic Extract </w:t>
      </w:r>
      <w:r w:rsidRPr="00A557F0">
        <w:rPr>
          <w:sz w:val="18"/>
          <w:szCs w:val="20"/>
        </w:rPr>
        <w:t>S</w:t>
      </w:r>
      <w:r w:rsidR="008C6533" w:rsidRPr="00A557F0">
        <w:rPr>
          <w:sz w:val="18"/>
          <w:szCs w:val="20"/>
        </w:rPr>
        <w:t>ystem and Medicaid Statistical Information Statistics</w:t>
      </w:r>
    </w:p>
    <w:p w14:paraId="192FCF1B" w14:textId="77777777" w:rsidR="002B0814" w:rsidRPr="00A557F0" w:rsidRDefault="009C1414" w:rsidP="009C1414">
      <w:pPr>
        <w:pStyle w:val="ListParagraph"/>
        <w:numPr>
          <w:ilvl w:val="0"/>
          <w:numId w:val="3"/>
        </w:numPr>
        <w:spacing w:after="0" w:line="240" w:lineRule="auto"/>
        <w:rPr>
          <w:rFonts w:eastAsia="Calibri" w:cs="Times New Roman"/>
          <w:sz w:val="18"/>
          <w:szCs w:val="20"/>
        </w:rPr>
      </w:pPr>
      <w:r w:rsidRPr="00A557F0">
        <w:rPr>
          <w:rFonts w:eastAsia="Calibri" w:cs="Times New Roman"/>
          <w:sz w:val="18"/>
          <w:szCs w:val="20"/>
        </w:rPr>
        <w:t>Economic Census (U.S. Census Bureau) is available for years ending in 2 and 7</w:t>
      </w:r>
    </w:p>
    <w:p w14:paraId="5A290637" w14:textId="77777777" w:rsidR="009C1414" w:rsidRPr="00A557F0" w:rsidRDefault="009C1414" w:rsidP="009C1414">
      <w:pPr>
        <w:pStyle w:val="ListParagraph"/>
        <w:numPr>
          <w:ilvl w:val="0"/>
          <w:numId w:val="3"/>
        </w:numPr>
        <w:spacing w:after="0" w:line="240" w:lineRule="auto"/>
        <w:rPr>
          <w:rFonts w:eastAsia="Calibri" w:cs="Times New Roman"/>
          <w:sz w:val="18"/>
          <w:szCs w:val="20"/>
        </w:rPr>
      </w:pPr>
      <w:r w:rsidRPr="00A557F0">
        <w:rPr>
          <w:rFonts w:eastAsia="Calibri" w:cs="Times New Roman"/>
          <w:sz w:val="18"/>
          <w:szCs w:val="20"/>
        </w:rPr>
        <w:t>Census of Retail Trade (U.S. Census Bureau) is available for years ending in 2 and 7</w:t>
      </w:r>
    </w:p>
    <w:p w14:paraId="72E049CA" w14:textId="77777777" w:rsidR="002B0814" w:rsidRPr="00A557F0" w:rsidRDefault="009C1414" w:rsidP="003A1A9E">
      <w:pPr>
        <w:pStyle w:val="ListParagraph"/>
        <w:numPr>
          <w:ilvl w:val="0"/>
          <w:numId w:val="3"/>
        </w:numPr>
        <w:spacing w:after="0" w:line="240" w:lineRule="auto"/>
        <w:rPr>
          <w:sz w:val="20"/>
        </w:rPr>
      </w:pPr>
      <w:r w:rsidRPr="00A557F0">
        <w:rPr>
          <w:rFonts w:eastAsia="Calibri" w:cs="Times New Roman"/>
          <w:sz w:val="18"/>
          <w:szCs w:val="20"/>
        </w:rPr>
        <w:t xml:space="preserve">Input-Output Accounts (Bureau of Economic Analysis) </w:t>
      </w:r>
      <w:r w:rsidR="00F14489" w:rsidRPr="00A557F0">
        <w:rPr>
          <w:rFonts w:eastAsia="Calibri" w:cs="Times New Roman"/>
          <w:sz w:val="18"/>
          <w:szCs w:val="20"/>
        </w:rPr>
        <w:t xml:space="preserve">are </w:t>
      </w:r>
      <w:r w:rsidRPr="00A557F0">
        <w:rPr>
          <w:rFonts w:eastAsia="Calibri" w:cs="Times New Roman"/>
          <w:sz w:val="18"/>
          <w:szCs w:val="20"/>
        </w:rPr>
        <w:t>available for years ending in 2 and 7</w:t>
      </w:r>
    </w:p>
    <w:p w14:paraId="217BB41C" w14:textId="77777777" w:rsidR="007F7FD5" w:rsidRPr="00E06BEE" w:rsidRDefault="007F7FD5" w:rsidP="007F7FD5">
      <w:pPr>
        <w:spacing w:after="0" w:line="240" w:lineRule="auto"/>
      </w:pPr>
    </w:p>
    <w:p w14:paraId="21B9550A" w14:textId="77777777" w:rsidR="0095226C" w:rsidRPr="00E06BEE" w:rsidRDefault="0095226C" w:rsidP="00AA6562">
      <w:pPr>
        <w:rPr>
          <w:b/>
        </w:rPr>
      </w:pPr>
    </w:p>
    <w:p w14:paraId="5E002351" w14:textId="77777777" w:rsidR="00805E16" w:rsidRPr="00E06BEE" w:rsidRDefault="00805E16" w:rsidP="00805E16">
      <w:pPr>
        <w:rPr>
          <w:b/>
        </w:rPr>
      </w:pPr>
      <w:r w:rsidRPr="00E06BEE">
        <w:rPr>
          <w:b/>
        </w:rPr>
        <w:t>Difference in Expenditures</w:t>
      </w:r>
    </w:p>
    <w:p w14:paraId="4657CD97" w14:textId="77777777" w:rsidR="00805E16" w:rsidRPr="00E06BEE" w:rsidRDefault="00805E16" w:rsidP="00805E16">
      <w:pPr>
        <w:spacing w:after="0"/>
        <w:rPr>
          <w:szCs w:val="24"/>
        </w:rPr>
      </w:pPr>
      <w:r w:rsidRPr="00E06BEE">
        <w:t xml:space="preserve">Due to </w:t>
      </w:r>
      <w:r>
        <w:t xml:space="preserve">the </w:t>
      </w:r>
      <w:r w:rsidRPr="00E06BEE">
        <w:t xml:space="preserve">aforementioned differences in methodologies and data sources, the </w:t>
      </w:r>
      <w:r>
        <w:t>estimates of</w:t>
      </w:r>
      <w:r w:rsidRPr="00E06BEE">
        <w:t xml:space="preserve"> total state</w:t>
      </w:r>
      <w:r>
        <w:t>wide</w:t>
      </w:r>
      <w:r w:rsidRPr="00E06BEE">
        <w:t xml:space="preserve"> health spending var</w:t>
      </w:r>
      <w:r w:rsidR="006253F0">
        <w:t>y</w:t>
      </w:r>
      <w:r w:rsidRPr="00E06BEE">
        <w:t xml:space="preserve"> between THCE and SHEA.</w:t>
      </w:r>
      <w:r w:rsidRPr="00E06BEE">
        <w:rPr>
          <w:sz w:val="24"/>
        </w:rPr>
        <w:t xml:space="preserve"> </w:t>
      </w:r>
      <w:r w:rsidRPr="00E06BEE">
        <w:t xml:space="preserve">THCE, as </w:t>
      </w:r>
      <w:r w:rsidR="00DE768A">
        <w:t>reported</w:t>
      </w:r>
      <w:r w:rsidRPr="00E06BEE">
        <w:t xml:space="preserve"> in CHIA’s 2014 </w:t>
      </w:r>
      <w:r w:rsidRPr="00E06BEE">
        <w:rPr>
          <w:i/>
        </w:rPr>
        <w:t xml:space="preserve">Annual Report </w:t>
      </w:r>
      <w:r w:rsidRPr="0022084B">
        <w:rPr>
          <w:i/>
        </w:rPr>
        <w:t>on the Performance of the Massachusetts Health Care System</w:t>
      </w:r>
      <w:r w:rsidRPr="0022084B">
        <w:rPr>
          <w:szCs w:val="24"/>
        </w:rPr>
        <w:t>, represents a final assessment of 2012 THCE</w:t>
      </w:r>
      <w:r w:rsidR="006253F0">
        <w:rPr>
          <w:szCs w:val="24"/>
        </w:rPr>
        <w:t>, and</w:t>
      </w:r>
      <w:r w:rsidRPr="0022084B">
        <w:rPr>
          <w:szCs w:val="24"/>
        </w:rPr>
        <w:t xml:space="preserve"> an initial assessment of 2013 THCE due to </w:t>
      </w:r>
      <w:r>
        <w:rPr>
          <w:szCs w:val="24"/>
        </w:rPr>
        <w:t xml:space="preserve">an abbreviated </w:t>
      </w:r>
      <w:r w:rsidRPr="0022084B">
        <w:rPr>
          <w:szCs w:val="24"/>
        </w:rPr>
        <w:t xml:space="preserve">run-out </w:t>
      </w:r>
      <w:r>
        <w:rPr>
          <w:szCs w:val="24"/>
        </w:rPr>
        <w:t>period</w:t>
      </w:r>
      <w:r w:rsidRPr="0022084B">
        <w:rPr>
          <w:szCs w:val="24"/>
        </w:rPr>
        <w:t xml:space="preserve"> </w:t>
      </w:r>
      <w:r>
        <w:rPr>
          <w:szCs w:val="24"/>
        </w:rPr>
        <w:t>that is insufficient for finalizing</w:t>
      </w:r>
      <w:r w:rsidRPr="0022084B">
        <w:rPr>
          <w:szCs w:val="24"/>
        </w:rPr>
        <w:t xml:space="preserve"> claims </w:t>
      </w:r>
      <w:r>
        <w:rPr>
          <w:szCs w:val="24"/>
        </w:rPr>
        <w:t>payments</w:t>
      </w:r>
      <w:r w:rsidRPr="0022084B">
        <w:rPr>
          <w:szCs w:val="24"/>
        </w:rPr>
        <w:t xml:space="preserve"> and </w:t>
      </w:r>
      <w:r>
        <w:rPr>
          <w:szCs w:val="24"/>
        </w:rPr>
        <w:t xml:space="preserve">provider financial settlements, such as </w:t>
      </w:r>
      <w:r w:rsidRPr="0022084B">
        <w:rPr>
          <w:szCs w:val="24"/>
        </w:rPr>
        <w:t>performance payments.</w:t>
      </w:r>
      <w:r w:rsidRPr="0022084B">
        <w:rPr>
          <w:rStyle w:val="FootnoteReference"/>
          <w:szCs w:val="24"/>
        </w:rPr>
        <w:footnoteReference w:id="11"/>
      </w:r>
      <w:r w:rsidRPr="0022084B">
        <w:rPr>
          <w:szCs w:val="24"/>
        </w:rPr>
        <w:t xml:space="preserve">  A final assessment of 2013 THCE will be published in CHIA’s 2015 Annual Report.</w:t>
      </w:r>
    </w:p>
    <w:p w14:paraId="3176FAAA" w14:textId="77777777" w:rsidR="00805E16" w:rsidRPr="00E06BEE" w:rsidRDefault="00805E16" w:rsidP="00805E16">
      <w:pPr>
        <w:spacing w:after="0"/>
        <w:rPr>
          <w:szCs w:val="24"/>
        </w:rPr>
      </w:pPr>
    </w:p>
    <w:p w14:paraId="3C7B194F" w14:textId="77777777" w:rsidR="000A412D" w:rsidRDefault="00805E16" w:rsidP="00805E16">
      <w:pPr>
        <w:rPr>
          <w:szCs w:val="24"/>
        </w:rPr>
      </w:pPr>
      <w:r w:rsidRPr="00E06BEE">
        <w:rPr>
          <w:szCs w:val="24"/>
        </w:rPr>
        <w:t>THCE in 2012 was $49.0 billion</w:t>
      </w:r>
      <w:r>
        <w:rPr>
          <w:szCs w:val="24"/>
        </w:rPr>
        <w:t xml:space="preserve"> for Massachusetts </w:t>
      </w:r>
      <w:r w:rsidR="00FA0472">
        <w:rPr>
          <w:szCs w:val="24"/>
        </w:rPr>
        <w:t>residents</w:t>
      </w:r>
      <w:r w:rsidRPr="00E06BEE">
        <w:rPr>
          <w:szCs w:val="24"/>
        </w:rPr>
        <w:t xml:space="preserve"> or $7,378 per </w:t>
      </w:r>
      <w:r>
        <w:rPr>
          <w:szCs w:val="24"/>
        </w:rPr>
        <w:t>capita</w:t>
      </w:r>
      <w:r w:rsidRPr="00E06BEE">
        <w:rPr>
          <w:szCs w:val="24"/>
        </w:rPr>
        <w:t xml:space="preserve">. </w:t>
      </w:r>
      <w:r>
        <w:rPr>
          <w:szCs w:val="24"/>
        </w:rPr>
        <w:t>After excluding spending related to NCPHI t</w:t>
      </w:r>
      <w:r w:rsidRPr="00E06BEE">
        <w:rPr>
          <w:szCs w:val="24"/>
        </w:rPr>
        <w:t xml:space="preserve">o be more comparable to SHEA, </w:t>
      </w:r>
      <w:r>
        <w:rPr>
          <w:szCs w:val="24"/>
        </w:rPr>
        <w:t xml:space="preserve">2012 </w:t>
      </w:r>
      <w:r w:rsidR="00DE768A">
        <w:rPr>
          <w:szCs w:val="24"/>
        </w:rPr>
        <w:t xml:space="preserve">adjusted </w:t>
      </w:r>
      <w:r w:rsidRPr="00E06BEE">
        <w:rPr>
          <w:szCs w:val="24"/>
        </w:rPr>
        <w:t xml:space="preserve">THCE </w:t>
      </w:r>
      <w:r w:rsidR="006253F0">
        <w:rPr>
          <w:szCs w:val="24"/>
        </w:rPr>
        <w:t>was</w:t>
      </w:r>
      <w:r w:rsidRPr="00E06BEE">
        <w:rPr>
          <w:szCs w:val="24"/>
        </w:rPr>
        <w:t xml:space="preserve"> $47 billion or $7,073 per capita</w:t>
      </w:r>
      <w:r>
        <w:rPr>
          <w:szCs w:val="24"/>
        </w:rPr>
        <w:t xml:space="preserve"> (Table 3).</w:t>
      </w:r>
      <w:r w:rsidRPr="00E06BEE">
        <w:rPr>
          <w:szCs w:val="24"/>
        </w:rPr>
        <w:t xml:space="preserve">  </w:t>
      </w:r>
      <w:r>
        <w:rPr>
          <w:szCs w:val="24"/>
        </w:rPr>
        <w:t>T</w:t>
      </w:r>
      <w:r w:rsidRPr="00E06BEE">
        <w:rPr>
          <w:szCs w:val="24"/>
        </w:rPr>
        <w:t xml:space="preserve">he most current SHEA </w:t>
      </w:r>
      <w:r>
        <w:rPr>
          <w:szCs w:val="24"/>
        </w:rPr>
        <w:t xml:space="preserve">estimate of total health care spending </w:t>
      </w:r>
      <w:r w:rsidRPr="00E06BEE">
        <w:rPr>
          <w:szCs w:val="24"/>
        </w:rPr>
        <w:t xml:space="preserve">for Massachusetts residents was $61.2 </w:t>
      </w:r>
      <w:r w:rsidR="00FA0472" w:rsidRPr="00E06BEE">
        <w:rPr>
          <w:szCs w:val="24"/>
        </w:rPr>
        <w:t>billion</w:t>
      </w:r>
      <w:r w:rsidR="004F7B03">
        <w:rPr>
          <w:szCs w:val="24"/>
        </w:rPr>
        <w:t xml:space="preserve"> </w:t>
      </w:r>
      <w:r w:rsidRPr="00E06BEE">
        <w:rPr>
          <w:szCs w:val="24"/>
        </w:rPr>
        <w:t>or $9,278 per capita for 2009.</w:t>
      </w:r>
      <w:r w:rsidR="00A557F0">
        <w:rPr>
          <w:szCs w:val="24"/>
        </w:rPr>
        <w:t xml:space="preserve"> Applying the national growth rates from the NHEA 2009-2012 data, the estimated 2012 SHEA for Massachusetts residents was $68.3</w:t>
      </w:r>
      <w:r w:rsidR="004F7B03">
        <w:rPr>
          <w:szCs w:val="24"/>
        </w:rPr>
        <w:t xml:space="preserve"> </w:t>
      </w:r>
      <w:r w:rsidR="00FA0472">
        <w:rPr>
          <w:szCs w:val="24"/>
        </w:rPr>
        <w:t>billion</w:t>
      </w:r>
      <w:r w:rsidR="004F7B03">
        <w:rPr>
          <w:szCs w:val="24"/>
        </w:rPr>
        <w:t xml:space="preserve"> </w:t>
      </w:r>
      <w:r w:rsidR="00A557F0">
        <w:rPr>
          <w:szCs w:val="24"/>
        </w:rPr>
        <w:t>or $10,283 per capita.</w:t>
      </w:r>
      <w:r w:rsidR="00376B0F">
        <w:rPr>
          <w:rStyle w:val="FootnoteReference"/>
          <w:szCs w:val="24"/>
        </w:rPr>
        <w:footnoteReference w:id="12"/>
      </w:r>
      <w:r w:rsidR="00A557F0">
        <w:rPr>
          <w:szCs w:val="24"/>
        </w:rPr>
        <w:t xml:space="preserve"> </w:t>
      </w:r>
      <w:r w:rsidRPr="00E06BEE">
        <w:rPr>
          <w:szCs w:val="24"/>
        </w:rPr>
        <w:t xml:space="preserve">In comparison, 2012 THCE per capita excluding NCPHI was </w:t>
      </w:r>
      <w:r w:rsidR="00A557F0">
        <w:rPr>
          <w:szCs w:val="24"/>
        </w:rPr>
        <w:t>31.2</w:t>
      </w:r>
      <w:r w:rsidRPr="00E06BEE">
        <w:rPr>
          <w:szCs w:val="24"/>
        </w:rPr>
        <w:t xml:space="preserve">% lower than </w:t>
      </w:r>
      <w:r w:rsidR="00A557F0">
        <w:rPr>
          <w:szCs w:val="24"/>
        </w:rPr>
        <w:t>the estimated 2012</w:t>
      </w:r>
      <w:r w:rsidRPr="00E06BEE">
        <w:rPr>
          <w:szCs w:val="24"/>
        </w:rPr>
        <w:t xml:space="preserve"> SHEA. The difference between THCE and SHEA may be explained </w:t>
      </w:r>
      <w:r>
        <w:rPr>
          <w:szCs w:val="24"/>
        </w:rPr>
        <w:t xml:space="preserve">in part </w:t>
      </w:r>
      <w:r w:rsidRPr="00E06BEE">
        <w:rPr>
          <w:szCs w:val="24"/>
        </w:rPr>
        <w:t xml:space="preserve">by </w:t>
      </w:r>
      <w:r>
        <w:rPr>
          <w:szCs w:val="24"/>
        </w:rPr>
        <w:t xml:space="preserve">the absence of </w:t>
      </w:r>
      <w:r w:rsidR="000A412D">
        <w:rPr>
          <w:szCs w:val="24"/>
        </w:rPr>
        <w:t xml:space="preserve">certain expenditure categories </w:t>
      </w:r>
      <w:r w:rsidR="00DE768A">
        <w:rPr>
          <w:szCs w:val="24"/>
        </w:rPr>
        <w:t xml:space="preserve">that are </w:t>
      </w:r>
      <w:r w:rsidR="000A412D">
        <w:rPr>
          <w:szCs w:val="24"/>
        </w:rPr>
        <w:t>not included in THCE.</w:t>
      </w:r>
    </w:p>
    <w:p w14:paraId="5986C576" w14:textId="77777777" w:rsidR="00AF5FAF" w:rsidRDefault="000A412D" w:rsidP="00805E16">
      <w:pPr>
        <w:rPr>
          <w:szCs w:val="24"/>
        </w:rPr>
      </w:pPr>
      <w:r>
        <w:rPr>
          <w:szCs w:val="24"/>
        </w:rPr>
        <w:lastRenderedPageBreak/>
        <w:t xml:space="preserve">Expenditures from certain third-party payers and programs that are not </w:t>
      </w:r>
      <w:r w:rsidR="004D0534">
        <w:rPr>
          <w:szCs w:val="24"/>
        </w:rPr>
        <w:t xml:space="preserve">captured </w:t>
      </w:r>
      <w:r>
        <w:rPr>
          <w:szCs w:val="24"/>
        </w:rPr>
        <w:t xml:space="preserve">by THCE </w:t>
      </w:r>
      <w:r w:rsidR="004D0534">
        <w:rPr>
          <w:szCs w:val="24"/>
        </w:rPr>
        <w:t>are estimated to account</w:t>
      </w:r>
      <w:r>
        <w:rPr>
          <w:szCs w:val="24"/>
        </w:rPr>
        <w:t xml:space="preserve"> for </w:t>
      </w:r>
      <w:r w:rsidR="001E6224">
        <w:rPr>
          <w:szCs w:val="24"/>
        </w:rPr>
        <w:t>11.04</w:t>
      </w:r>
      <w:r w:rsidR="004D0534">
        <w:rPr>
          <w:szCs w:val="24"/>
        </w:rPr>
        <w:t xml:space="preserve">% of the difference </w:t>
      </w:r>
      <w:r w:rsidR="006253F0">
        <w:rPr>
          <w:szCs w:val="24"/>
        </w:rPr>
        <w:t xml:space="preserve">between </w:t>
      </w:r>
      <w:r w:rsidR="004D0534">
        <w:rPr>
          <w:szCs w:val="24"/>
        </w:rPr>
        <w:t xml:space="preserve">THCE and SHEA, followed by </w:t>
      </w:r>
      <w:r w:rsidR="001E6224">
        <w:rPr>
          <w:szCs w:val="24"/>
        </w:rPr>
        <w:t>9.46</w:t>
      </w:r>
      <w:r w:rsidR="004D0534">
        <w:rPr>
          <w:szCs w:val="24"/>
        </w:rPr>
        <w:t>% from o</w:t>
      </w:r>
      <w:r>
        <w:rPr>
          <w:szCs w:val="24"/>
        </w:rPr>
        <w:t>ut-of-pocket payments for over-the-counter medicines and services not covered by health insurance,</w:t>
      </w:r>
      <w:r w:rsidR="001E6224">
        <w:rPr>
          <w:rStyle w:val="FootnoteReference"/>
          <w:szCs w:val="24"/>
        </w:rPr>
        <w:footnoteReference w:id="13"/>
      </w:r>
      <w:r>
        <w:rPr>
          <w:szCs w:val="24"/>
        </w:rPr>
        <w:t xml:space="preserve"> </w:t>
      </w:r>
      <w:r w:rsidR="004D0534">
        <w:rPr>
          <w:szCs w:val="24"/>
        </w:rPr>
        <w:t xml:space="preserve">and </w:t>
      </w:r>
      <w:r w:rsidR="001E6224">
        <w:rPr>
          <w:szCs w:val="24"/>
        </w:rPr>
        <w:t>2.26</w:t>
      </w:r>
      <w:r w:rsidR="004D0534">
        <w:rPr>
          <w:szCs w:val="24"/>
        </w:rPr>
        <w:t>% from dental insurance</w:t>
      </w:r>
      <w:r w:rsidR="00805E16" w:rsidRPr="00E06BEE">
        <w:rPr>
          <w:szCs w:val="24"/>
        </w:rPr>
        <w:t>.</w:t>
      </w:r>
      <w:r w:rsidR="0095226C">
        <w:rPr>
          <w:szCs w:val="24"/>
        </w:rPr>
        <w:t xml:space="preserve"> THCE does not include </w:t>
      </w:r>
      <w:r w:rsidR="001A632B">
        <w:rPr>
          <w:szCs w:val="24"/>
        </w:rPr>
        <w:t>these expenditure</w:t>
      </w:r>
      <w:r w:rsidR="0095226C">
        <w:rPr>
          <w:szCs w:val="24"/>
        </w:rPr>
        <w:t xml:space="preserve"> categories due to lack of </w:t>
      </w:r>
      <w:r w:rsidR="00DE768A">
        <w:rPr>
          <w:szCs w:val="24"/>
        </w:rPr>
        <w:t xml:space="preserve">timely </w:t>
      </w:r>
      <w:r w:rsidR="0095226C">
        <w:rPr>
          <w:szCs w:val="24"/>
        </w:rPr>
        <w:t xml:space="preserve">data availability. </w:t>
      </w:r>
      <w:r w:rsidR="00AB1125">
        <w:rPr>
          <w:szCs w:val="24"/>
        </w:rPr>
        <w:t>About 8.46% of the difference</w:t>
      </w:r>
      <w:r w:rsidR="001A632B">
        <w:rPr>
          <w:szCs w:val="24"/>
        </w:rPr>
        <w:t xml:space="preserve"> ($5.8 billion)</w:t>
      </w:r>
      <w:r w:rsidR="00AB1125">
        <w:rPr>
          <w:szCs w:val="24"/>
        </w:rPr>
        <w:t xml:space="preserve"> between THCE and SHEA is not </w:t>
      </w:r>
      <w:r w:rsidR="004F7B03">
        <w:rPr>
          <w:szCs w:val="24"/>
        </w:rPr>
        <w:t>itemized</w:t>
      </w:r>
      <w:r w:rsidR="00AB1125">
        <w:rPr>
          <w:szCs w:val="24"/>
        </w:rPr>
        <w:t>.</w:t>
      </w:r>
    </w:p>
    <w:p w14:paraId="225230F0" w14:textId="77777777" w:rsidR="001E6224" w:rsidRPr="00E06BEE" w:rsidRDefault="001E6224" w:rsidP="00805E16">
      <w:pPr>
        <w:rPr>
          <w:szCs w:val="24"/>
        </w:rPr>
      </w:pPr>
    </w:p>
    <w:p w14:paraId="462C1E56" w14:textId="77777777" w:rsidR="00805E16" w:rsidRPr="00E06BEE" w:rsidRDefault="00805E16" w:rsidP="00573771">
      <w:pPr>
        <w:spacing w:after="0"/>
        <w:rPr>
          <w:rFonts w:eastAsia="Calibri" w:cs="Times New Roman"/>
          <w:b/>
        </w:rPr>
      </w:pPr>
      <w:r w:rsidRPr="00E06BEE">
        <w:rPr>
          <w:rFonts w:eastAsia="Calibri" w:cs="Times New Roman"/>
          <w:b/>
        </w:rPr>
        <w:t>Table 3. Comparison of Massachusetts Resident Expenditures between THCE and SHEA</w:t>
      </w:r>
    </w:p>
    <w:tbl>
      <w:tblPr>
        <w:tblStyle w:val="LightList-Accent1"/>
        <w:tblW w:w="5000" w:type="pct"/>
        <w:tblLayout w:type="fixed"/>
        <w:tblLook w:val="00A0" w:firstRow="1" w:lastRow="0" w:firstColumn="1" w:lastColumn="0" w:noHBand="0" w:noVBand="0"/>
      </w:tblPr>
      <w:tblGrid>
        <w:gridCol w:w="2354"/>
        <w:gridCol w:w="2147"/>
        <w:gridCol w:w="2160"/>
        <w:gridCol w:w="1459"/>
        <w:gridCol w:w="1456"/>
      </w:tblGrid>
      <w:tr w:rsidR="001F3986" w:rsidRPr="00A21FFB" w14:paraId="3D168A6B" w14:textId="77777777" w:rsidTr="001F398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9" w:type="pct"/>
          </w:tcPr>
          <w:p w14:paraId="25949718" w14:textId="77777777" w:rsidR="001F3986" w:rsidRPr="00A21FFB" w:rsidRDefault="001F3986" w:rsidP="00A770E5">
            <w:pPr>
              <w:jc w:val="center"/>
              <w:rPr>
                <w:rFonts w:eastAsia="Times New Roman" w:cs="Times New Roman"/>
                <w:sz w:val="20"/>
              </w:rPr>
            </w:pPr>
            <w:r w:rsidRPr="00A21FFB">
              <w:rPr>
                <w:rFonts w:eastAsia="Times New Roman" w:cs="Times New Roman"/>
                <w:sz w:val="20"/>
              </w:rPr>
              <w:t>Measure</w:t>
            </w:r>
          </w:p>
        </w:tc>
        <w:tc>
          <w:tcPr>
            <w:cnfStyle w:val="000010000000" w:firstRow="0" w:lastRow="0" w:firstColumn="0" w:lastColumn="0" w:oddVBand="1" w:evenVBand="0" w:oddHBand="0" w:evenHBand="0" w:firstRowFirstColumn="0" w:firstRowLastColumn="0" w:lastRowFirstColumn="0" w:lastRowLastColumn="0"/>
            <w:tcW w:w="1121" w:type="pct"/>
          </w:tcPr>
          <w:p w14:paraId="507542FE" w14:textId="77777777" w:rsidR="001F3986" w:rsidRPr="00A21FFB" w:rsidRDefault="001F3986" w:rsidP="00A770E5">
            <w:pPr>
              <w:jc w:val="center"/>
              <w:rPr>
                <w:rFonts w:eastAsia="Times New Roman" w:cs="Times New Roman"/>
                <w:sz w:val="20"/>
                <w:szCs w:val="20"/>
              </w:rPr>
            </w:pPr>
            <w:r w:rsidRPr="00A21FFB">
              <w:rPr>
                <w:rFonts w:eastAsia="Times New Roman" w:cs="Times New Roman"/>
                <w:sz w:val="20"/>
                <w:szCs w:val="20"/>
              </w:rPr>
              <w:t>THCE Excluding NCPHI (2012)</w:t>
            </w:r>
            <w:r w:rsidRPr="00AF5FAF">
              <w:rPr>
                <w:rFonts w:eastAsia="Times New Roman" w:cs="Times New Roman"/>
                <w:sz w:val="20"/>
                <w:szCs w:val="20"/>
                <w:vertAlign w:val="superscript"/>
              </w:rPr>
              <w:t>1</w:t>
            </w:r>
          </w:p>
        </w:tc>
        <w:tc>
          <w:tcPr>
            <w:tcW w:w="1128" w:type="pct"/>
          </w:tcPr>
          <w:p w14:paraId="3D97EADB" w14:textId="77777777" w:rsidR="001F3986" w:rsidRPr="00A21FFB" w:rsidRDefault="001F3986" w:rsidP="00A770E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A21FFB">
              <w:rPr>
                <w:rFonts w:eastAsia="Times New Roman" w:cs="Times New Roman"/>
                <w:sz w:val="20"/>
                <w:szCs w:val="20"/>
              </w:rPr>
              <w:t>SHEA (2012 estimated)</w:t>
            </w:r>
          </w:p>
        </w:tc>
        <w:tc>
          <w:tcPr>
            <w:cnfStyle w:val="000010000000" w:firstRow="0" w:lastRow="0" w:firstColumn="0" w:lastColumn="0" w:oddVBand="1" w:evenVBand="0" w:oddHBand="0" w:evenHBand="0" w:firstRowFirstColumn="0" w:firstRowLastColumn="0" w:lastRowFirstColumn="0" w:lastRowLastColumn="0"/>
            <w:tcW w:w="762" w:type="pct"/>
          </w:tcPr>
          <w:p w14:paraId="0819B292" w14:textId="77777777" w:rsidR="001F3986" w:rsidRPr="00A21FFB" w:rsidRDefault="001F3986" w:rsidP="00A770E5">
            <w:pPr>
              <w:jc w:val="center"/>
              <w:rPr>
                <w:rFonts w:eastAsia="Times New Roman" w:cs="Times New Roman"/>
                <w:sz w:val="20"/>
                <w:szCs w:val="20"/>
              </w:rPr>
            </w:pPr>
            <w:r>
              <w:rPr>
                <w:rFonts w:eastAsia="Times New Roman" w:cs="Times New Roman"/>
                <w:sz w:val="20"/>
                <w:szCs w:val="20"/>
              </w:rPr>
              <w:t>Difference</w:t>
            </w:r>
          </w:p>
        </w:tc>
        <w:tc>
          <w:tcPr>
            <w:tcW w:w="761" w:type="pct"/>
          </w:tcPr>
          <w:p w14:paraId="5CE44ACD" w14:textId="77777777" w:rsidR="001F3986" w:rsidRPr="00A21FFB" w:rsidRDefault="001F3986" w:rsidP="00A770E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 Difference</w:t>
            </w:r>
          </w:p>
        </w:tc>
      </w:tr>
      <w:tr w:rsidR="001F3986" w:rsidRPr="00A21FFB" w14:paraId="6404915D" w14:textId="77777777" w:rsidTr="001F398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9" w:type="pct"/>
          </w:tcPr>
          <w:p w14:paraId="24C8EC96" w14:textId="77777777" w:rsidR="001F3986" w:rsidRPr="00A21FFB" w:rsidRDefault="001F3986" w:rsidP="000A412D">
            <w:pPr>
              <w:rPr>
                <w:rFonts w:eastAsia="Times New Roman" w:cs="Times New Roman"/>
                <w:color w:val="000000"/>
                <w:sz w:val="20"/>
              </w:rPr>
            </w:pPr>
            <w:r w:rsidRPr="00A21FFB">
              <w:rPr>
                <w:rFonts w:eastAsia="Times New Roman" w:cs="Times New Roman"/>
                <w:color w:val="000000"/>
                <w:sz w:val="20"/>
              </w:rPr>
              <w:t>Total Expenditures</w:t>
            </w:r>
          </w:p>
        </w:tc>
        <w:tc>
          <w:tcPr>
            <w:cnfStyle w:val="000010000000" w:firstRow="0" w:lastRow="0" w:firstColumn="0" w:lastColumn="0" w:oddVBand="1" w:evenVBand="0" w:oddHBand="0" w:evenHBand="0" w:firstRowFirstColumn="0" w:firstRowLastColumn="0" w:lastRowFirstColumn="0" w:lastRowLastColumn="0"/>
            <w:tcW w:w="1121" w:type="pct"/>
          </w:tcPr>
          <w:p w14:paraId="4B28F56E" w14:textId="77777777" w:rsidR="001F3986" w:rsidRPr="00A21FFB" w:rsidRDefault="001F3986" w:rsidP="00A770E5">
            <w:pPr>
              <w:jc w:val="center"/>
              <w:rPr>
                <w:rFonts w:eastAsia="Calibri" w:cs="Times New Roman"/>
                <w:sz w:val="20"/>
              </w:rPr>
            </w:pPr>
            <w:r w:rsidRPr="00A21FFB">
              <w:rPr>
                <w:rFonts w:eastAsia="Calibri" w:cs="Times New Roman"/>
                <w:sz w:val="20"/>
              </w:rPr>
              <w:t>$47.0 billion</w:t>
            </w:r>
          </w:p>
        </w:tc>
        <w:tc>
          <w:tcPr>
            <w:tcW w:w="1128" w:type="pct"/>
          </w:tcPr>
          <w:p w14:paraId="7D5C6CFA" w14:textId="77777777" w:rsidR="001F3986" w:rsidRPr="00A21FFB" w:rsidRDefault="001F3986" w:rsidP="00A770E5">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A21FFB">
              <w:rPr>
                <w:rFonts w:eastAsia="Calibri" w:cs="Times New Roman"/>
                <w:sz w:val="20"/>
              </w:rPr>
              <w:t>$68.3 billion</w:t>
            </w:r>
          </w:p>
        </w:tc>
        <w:tc>
          <w:tcPr>
            <w:cnfStyle w:val="000010000000" w:firstRow="0" w:lastRow="0" w:firstColumn="0" w:lastColumn="0" w:oddVBand="1" w:evenVBand="0" w:oddHBand="0" w:evenHBand="0" w:firstRowFirstColumn="0" w:firstRowLastColumn="0" w:lastRowFirstColumn="0" w:lastRowLastColumn="0"/>
            <w:tcW w:w="762" w:type="pct"/>
          </w:tcPr>
          <w:p w14:paraId="5DCDA1DD" w14:textId="77777777" w:rsidR="001F3986" w:rsidRPr="00A21FFB" w:rsidRDefault="001F3986" w:rsidP="00A770E5">
            <w:pPr>
              <w:jc w:val="center"/>
              <w:rPr>
                <w:rFonts w:eastAsia="Calibri" w:cs="Times New Roman"/>
                <w:sz w:val="20"/>
              </w:rPr>
            </w:pPr>
            <w:r w:rsidRPr="00A21FFB">
              <w:rPr>
                <w:rFonts w:eastAsia="Calibri" w:cs="Times New Roman"/>
                <w:sz w:val="20"/>
              </w:rPr>
              <w:t>-$21.3 billion</w:t>
            </w:r>
          </w:p>
        </w:tc>
        <w:tc>
          <w:tcPr>
            <w:tcW w:w="761" w:type="pct"/>
          </w:tcPr>
          <w:p w14:paraId="34C77C9E" w14:textId="77777777" w:rsidR="001F3986" w:rsidRPr="000A412D" w:rsidRDefault="001F3986" w:rsidP="00A770E5">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20"/>
              </w:rPr>
            </w:pPr>
            <w:r w:rsidRPr="000A412D">
              <w:rPr>
                <w:rFonts w:eastAsia="Calibri" w:cs="Times New Roman"/>
                <w:b/>
                <w:sz w:val="20"/>
              </w:rPr>
              <w:t>31.22%</w:t>
            </w:r>
          </w:p>
        </w:tc>
      </w:tr>
      <w:tr w:rsidR="001F3986" w:rsidRPr="00A21FFB" w14:paraId="3D913557" w14:textId="77777777" w:rsidTr="001F3986">
        <w:trPr>
          <w:trHeight w:val="432"/>
        </w:trPr>
        <w:tc>
          <w:tcPr>
            <w:cnfStyle w:val="001000000000" w:firstRow="0" w:lastRow="0" w:firstColumn="1" w:lastColumn="0" w:oddVBand="0" w:evenVBand="0" w:oddHBand="0" w:evenHBand="0" w:firstRowFirstColumn="0" w:firstRowLastColumn="0" w:lastRowFirstColumn="0" w:lastRowLastColumn="0"/>
            <w:tcW w:w="1229" w:type="pct"/>
            <w:tcBorders>
              <w:bottom w:val="single" w:sz="8" w:space="0" w:color="4F81BD" w:themeColor="accent1"/>
            </w:tcBorders>
          </w:tcPr>
          <w:p w14:paraId="1E498011" w14:textId="77777777" w:rsidR="001F3986" w:rsidRPr="00A21FFB" w:rsidRDefault="001F3986" w:rsidP="000A412D">
            <w:pPr>
              <w:rPr>
                <w:rFonts w:eastAsia="Times New Roman" w:cs="Times New Roman"/>
                <w:color w:val="000000"/>
                <w:sz w:val="20"/>
              </w:rPr>
            </w:pPr>
            <w:r w:rsidRPr="00A21FFB">
              <w:rPr>
                <w:rFonts w:eastAsia="Times New Roman" w:cs="Times New Roman"/>
                <w:color w:val="000000"/>
                <w:sz w:val="20"/>
              </w:rPr>
              <w:t>Per Capita Expenditures</w:t>
            </w:r>
          </w:p>
        </w:tc>
        <w:tc>
          <w:tcPr>
            <w:cnfStyle w:val="000010000000" w:firstRow="0" w:lastRow="0" w:firstColumn="0" w:lastColumn="0" w:oddVBand="1" w:evenVBand="0" w:oddHBand="0" w:evenHBand="0" w:firstRowFirstColumn="0" w:firstRowLastColumn="0" w:lastRowFirstColumn="0" w:lastRowLastColumn="0"/>
            <w:tcW w:w="1121" w:type="pct"/>
            <w:tcBorders>
              <w:bottom w:val="single" w:sz="8" w:space="0" w:color="4F81BD" w:themeColor="accent1"/>
            </w:tcBorders>
          </w:tcPr>
          <w:p w14:paraId="04C2D981" w14:textId="77777777" w:rsidR="001F3986" w:rsidRPr="00A21FFB" w:rsidRDefault="001F3986" w:rsidP="00A770E5">
            <w:pPr>
              <w:jc w:val="center"/>
              <w:rPr>
                <w:rFonts w:eastAsia="Calibri" w:cs="Times New Roman"/>
                <w:sz w:val="20"/>
              </w:rPr>
            </w:pPr>
            <w:r w:rsidRPr="00A21FFB">
              <w:rPr>
                <w:rFonts w:eastAsia="Calibri" w:cs="Times New Roman"/>
                <w:sz w:val="20"/>
              </w:rPr>
              <w:t>$7,073</w:t>
            </w:r>
          </w:p>
        </w:tc>
        <w:tc>
          <w:tcPr>
            <w:tcW w:w="1128" w:type="pct"/>
            <w:tcBorders>
              <w:bottom w:val="single" w:sz="8" w:space="0" w:color="4F81BD" w:themeColor="accent1"/>
            </w:tcBorders>
          </w:tcPr>
          <w:p w14:paraId="421EEEB9" w14:textId="77777777" w:rsidR="001F3986" w:rsidRPr="00A21FFB" w:rsidRDefault="001F3986" w:rsidP="00A770E5">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sidRPr="00A21FFB">
              <w:rPr>
                <w:rFonts w:eastAsia="Calibri" w:cs="Times New Roman"/>
                <w:sz w:val="20"/>
              </w:rPr>
              <w:t>$10,283</w:t>
            </w:r>
          </w:p>
        </w:tc>
        <w:tc>
          <w:tcPr>
            <w:cnfStyle w:val="000010000000" w:firstRow="0" w:lastRow="0" w:firstColumn="0" w:lastColumn="0" w:oddVBand="1" w:evenVBand="0" w:oddHBand="0" w:evenHBand="0" w:firstRowFirstColumn="0" w:firstRowLastColumn="0" w:lastRowFirstColumn="0" w:lastRowLastColumn="0"/>
            <w:tcW w:w="762" w:type="pct"/>
            <w:tcBorders>
              <w:bottom w:val="single" w:sz="8" w:space="0" w:color="4F81BD" w:themeColor="accent1"/>
            </w:tcBorders>
          </w:tcPr>
          <w:p w14:paraId="37B90646" w14:textId="77777777" w:rsidR="001F3986" w:rsidRPr="00A21FFB" w:rsidRDefault="001F3986" w:rsidP="00A770E5">
            <w:pPr>
              <w:jc w:val="center"/>
              <w:rPr>
                <w:rFonts w:eastAsia="Calibri" w:cs="Times New Roman"/>
                <w:sz w:val="20"/>
              </w:rPr>
            </w:pPr>
            <w:r w:rsidRPr="00A21FFB">
              <w:rPr>
                <w:rFonts w:eastAsia="Calibri" w:cs="Times New Roman"/>
                <w:sz w:val="20"/>
              </w:rPr>
              <w:t>-$3,210</w:t>
            </w:r>
          </w:p>
        </w:tc>
        <w:tc>
          <w:tcPr>
            <w:tcW w:w="761" w:type="pct"/>
            <w:tcBorders>
              <w:bottom w:val="single" w:sz="8" w:space="0" w:color="4F81BD" w:themeColor="accent1"/>
            </w:tcBorders>
          </w:tcPr>
          <w:p w14:paraId="503287D1" w14:textId="77777777" w:rsidR="001F3986" w:rsidRPr="000A412D" w:rsidRDefault="001F3986" w:rsidP="00A770E5">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 w:val="20"/>
              </w:rPr>
            </w:pPr>
            <w:r w:rsidRPr="000A412D">
              <w:rPr>
                <w:rFonts w:eastAsia="Calibri" w:cs="Times New Roman"/>
                <w:b/>
                <w:sz w:val="20"/>
              </w:rPr>
              <w:t>31.22%</w:t>
            </w:r>
          </w:p>
        </w:tc>
      </w:tr>
      <w:tr w:rsidR="001F3986" w:rsidRPr="00A21FFB" w14:paraId="11AE7994" w14:textId="77777777" w:rsidTr="001F398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39" w:type="pct"/>
            <w:gridSpan w:val="4"/>
            <w:tcBorders>
              <w:bottom w:val="nil"/>
              <w:right w:val="single" w:sz="8" w:space="0" w:color="4F81BD" w:themeColor="accent1"/>
            </w:tcBorders>
            <w:shd w:val="clear" w:color="auto" w:fill="4F81BD" w:themeFill="accent1"/>
          </w:tcPr>
          <w:p w14:paraId="06B83156" w14:textId="77777777" w:rsidR="001F3986" w:rsidRPr="00A21FFB" w:rsidRDefault="001F3986" w:rsidP="00A770E5">
            <w:pPr>
              <w:jc w:val="center"/>
              <w:rPr>
                <w:rFonts w:eastAsia="Calibri" w:cs="Times New Roman"/>
                <w:sz w:val="20"/>
              </w:rPr>
            </w:pPr>
            <w:r>
              <w:rPr>
                <w:rFonts w:eastAsia="Times New Roman" w:cs="Times New Roman"/>
                <w:color w:val="FFFFFF" w:themeColor="background1"/>
                <w:sz w:val="20"/>
              </w:rPr>
              <w:t>Expenditure Components Included in SHEA but Not Included in THCE</w:t>
            </w:r>
            <w:r w:rsidR="001A632B">
              <w:rPr>
                <w:rFonts w:eastAsia="Times New Roman" w:cs="Times New Roman"/>
                <w:color w:val="FFFFFF" w:themeColor="background1"/>
                <w:sz w:val="20"/>
                <w:vertAlign w:val="superscript"/>
              </w:rPr>
              <w:t>2</w:t>
            </w:r>
          </w:p>
        </w:tc>
        <w:tc>
          <w:tcPr>
            <w:cnfStyle w:val="000010000000" w:firstRow="0" w:lastRow="0" w:firstColumn="0" w:lastColumn="0" w:oddVBand="1" w:evenVBand="0" w:oddHBand="0" w:evenHBand="0" w:firstRowFirstColumn="0" w:firstRowLastColumn="0" w:lastRowFirstColumn="0" w:lastRowLastColumn="0"/>
            <w:tcW w:w="761" w:type="pct"/>
            <w:tcBorders>
              <w:bottom w:val="nil"/>
            </w:tcBorders>
            <w:shd w:val="clear" w:color="auto" w:fill="4F81BD" w:themeFill="accent1"/>
          </w:tcPr>
          <w:p w14:paraId="634964D7" w14:textId="77777777" w:rsidR="001F3986" w:rsidRPr="00AF5FAF" w:rsidRDefault="001F3986" w:rsidP="001F3986">
            <w:pPr>
              <w:jc w:val="center"/>
              <w:rPr>
                <w:rFonts w:eastAsia="Calibri" w:cs="Times New Roman"/>
                <w:b/>
                <w:sz w:val="20"/>
              </w:rPr>
            </w:pPr>
            <w:r>
              <w:rPr>
                <w:rFonts w:eastAsia="Calibri" w:cs="Times New Roman"/>
                <w:b/>
                <w:color w:val="FFFFFF" w:themeColor="background1"/>
                <w:sz w:val="20"/>
              </w:rPr>
              <w:t>%</w:t>
            </w:r>
          </w:p>
        </w:tc>
      </w:tr>
      <w:tr w:rsidR="001F3986" w:rsidRPr="00A21FFB" w14:paraId="14C0DF06" w14:textId="77777777" w:rsidTr="001F3986">
        <w:trPr>
          <w:trHeight w:val="2320"/>
        </w:trPr>
        <w:tc>
          <w:tcPr>
            <w:cnfStyle w:val="001000000000" w:firstRow="0" w:lastRow="0" w:firstColumn="1" w:lastColumn="0" w:oddVBand="0" w:evenVBand="0" w:oddHBand="0" w:evenHBand="0" w:firstRowFirstColumn="0" w:firstRowLastColumn="0" w:lastRowFirstColumn="0" w:lastRowLastColumn="0"/>
            <w:tcW w:w="1229" w:type="pct"/>
            <w:tcBorders>
              <w:top w:val="single" w:sz="8" w:space="0" w:color="4F81BD" w:themeColor="accent1"/>
            </w:tcBorders>
          </w:tcPr>
          <w:p w14:paraId="6D7AE4B3" w14:textId="77777777" w:rsidR="001F3986" w:rsidRPr="00A21FFB" w:rsidRDefault="001F3986" w:rsidP="000A412D">
            <w:pPr>
              <w:rPr>
                <w:rFonts w:eastAsia="Times New Roman" w:cs="Times New Roman"/>
                <w:color w:val="000000"/>
                <w:sz w:val="20"/>
              </w:rPr>
            </w:pPr>
            <w:r>
              <w:rPr>
                <w:rFonts w:eastAsia="Times New Roman" w:cs="Times New Roman"/>
                <w:color w:val="000000"/>
                <w:sz w:val="20"/>
              </w:rPr>
              <w:t>Other Third Party Payers and Programs</w:t>
            </w:r>
          </w:p>
        </w:tc>
        <w:tc>
          <w:tcPr>
            <w:cnfStyle w:val="000010000000" w:firstRow="0" w:lastRow="0" w:firstColumn="0" w:lastColumn="0" w:oddVBand="1" w:evenVBand="0" w:oddHBand="0" w:evenHBand="0" w:firstRowFirstColumn="0" w:firstRowLastColumn="0" w:lastRowFirstColumn="0" w:lastRowLastColumn="0"/>
            <w:tcW w:w="3011" w:type="pct"/>
            <w:gridSpan w:val="3"/>
            <w:tcBorders>
              <w:top w:val="single" w:sz="8" w:space="0" w:color="4F81BD" w:themeColor="accent1"/>
            </w:tcBorders>
          </w:tcPr>
          <w:p w14:paraId="1EA4A13D" w14:textId="77777777" w:rsidR="001F3986" w:rsidRDefault="001F3986" w:rsidP="000A412D">
            <w:pPr>
              <w:rPr>
                <w:rFonts w:eastAsia="Calibri" w:cs="Times New Roman"/>
                <w:sz w:val="20"/>
              </w:rPr>
            </w:pPr>
            <w:r>
              <w:rPr>
                <w:rFonts w:eastAsia="Calibri" w:cs="Times New Roman"/>
                <w:sz w:val="20"/>
              </w:rPr>
              <w:t>(a) Department of Defense;</w:t>
            </w:r>
          </w:p>
          <w:p w14:paraId="2CCA5E87" w14:textId="77777777" w:rsidR="001F3986" w:rsidRDefault="001F3986" w:rsidP="000A412D">
            <w:pPr>
              <w:rPr>
                <w:rFonts w:eastAsia="Calibri" w:cs="Times New Roman"/>
                <w:sz w:val="20"/>
              </w:rPr>
            </w:pPr>
            <w:r>
              <w:rPr>
                <w:rFonts w:eastAsia="Calibri" w:cs="Times New Roman"/>
                <w:sz w:val="20"/>
              </w:rPr>
              <w:t>(b) Worksite Health Care;</w:t>
            </w:r>
          </w:p>
          <w:p w14:paraId="6A9931D0" w14:textId="77777777" w:rsidR="001F3986" w:rsidRDefault="001F3986" w:rsidP="000A412D">
            <w:pPr>
              <w:rPr>
                <w:rFonts w:eastAsia="Calibri" w:cs="Times New Roman"/>
                <w:sz w:val="20"/>
              </w:rPr>
            </w:pPr>
            <w:r>
              <w:rPr>
                <w:rFonts w:eastAsia="Calibri" w:cs="Times New Roman"/>
                <w:sz w:val="20"/>
              </w:rPr>
              <w:t>(</w:t>
            </w:r>
            <w:r w:rsidR="00910BD0">
              <w:rPr>
                <w:rFonts w:eastAsia="Calibri" w:cs="Times New Roman"/>
                <w:sz w:val="20"/>
              </w:rPr>
              <w:t>c</w:t>
            </w:r>
            <w:r>
              <w:rPr>
                <w:rFonts w:eastAsia="Calibri" w:cs="Times New Roman"/>
                <w:sz w:val="20"/>
              </w:rPr>
              <w:t xml:space="preserve">) </w:t>
            </w:r>
            <w:r w:rsidRPr="00CB0292">
              <w:rPr>
                <w:rFonts w:eastAsia="Calibri" w:cs="Times New Roman"/>
                <w:sz w:val="20"/>
              </w:rPr>
              <w:t>Other Private Revenues</w:t>
            </w:r>
            <w:r>
              <w:rPr>
                <w:rFonts w:eastAsia="Calibri" w:cs="Times New Roman"/>
                <w:sz w:val="20"/>
              </w:rPr>
              <w:t xml:space="preserve"> (e.g., philanthropic funding)</w:t>
            </w:r>
            <w:r w:rsidR="001A632B">
              <w:rPr>
                <w:rFonts w:eastAsia="Calibri" w:cs="Times New Roman"/>
                <w:sz w:val="20"/>
                <w:vertAlign w:val="superscript"/>
              </w:rPr>
              <w:t>3</w:t>
            </w:r>
            <w:r>
              <w:rPr>
                <w:rFonts w:eastAsia="Calibri" w:cs="Times New Roman"/>
                <w:sz w:val="20"/>
              </w:rPr>
              <w:t>;</w:t>
            </w:r>
          </w:p>
          <w:p w14:paraId="1218F16D" w14:textId="77777777" w:rsidR="001F3986" w:rsidRDefault="001F3986" w:rsidP="000A412D">
            <w:pPr>
              <w:rPr>
                <w:rFonts w:eastAsia="Calibri" w:cs="Times New Roman"/>
                <w:sz w:val="20"/>
              </w:rPr>
            </w:pPr>
            <w:r>
              <w:rPr>
                <w:rFonts w:eastAsia="Calibri" w:cs="Times New Roman"/>
                <w:sz w:val="20"/>
              </w:rPr>
              <w:t>(</w:t>
            </w:r>
            <w:r w:rsidR="00910BD0">
              <w:rPr>
                <w:rFonts w:eastAsia="Calibri" w:cs="Times New Roman"/>
                <w:sz w:val="20"/>
              </w:rPr>
              <w:t>d</w:t>
            </w:r>
            <w:r>
              <w:rPr>
                <w:rFonts w:eastAsia="Calibri" w:cs="Times New Roman"/>
                <w:sz w:val="20"/>
              </w:rPr>
              <w:t>) Indian Health Services;</w:t>
            </w:r>
          </w:p>
          <w:p w14:paraId="61F2958C" w14:textId="77777777" w:rsidR="001F3986" w:rsidRDefault="001F3986" w:rsidP="000A412D">
            <w:pPr>
              <w:rPr>
                <w:rFonts w:eastAsia="Calibri" w:cs="Times New Roman"/>
                <w:sz w:val="20"/>
              </w:rPr>
            </w:pPr>
            <w:r>
              <w:rPr>
                <w:rFonts w:eastAsia="Calibri" w:cs="Times New Roman"/>
                <w:sz w:val="20"/>
              </w:rPr>
              <w:t>(</w:t>
            </w:r>
            <w:r w:rsidR="00910BD0">
              <w:rPr>
                <w:rFonts w:eastAsia="Calibri" w:cs="Times New Roman"/>
                <w:sz w:val="20"/>
              </w:rPr>
              <w:t>e</w:t>
            </w:r>
            <w:r>
              <w:rPr>
                <w:rFonts w:eastAsia="Calibri" w:cs="Times New Roman"/>
                <w:sz w:val="20"/>
              </w:rPr>
              <w:t>) Workers' Compensation;</w:t>
            </w:r>
          </w:p>
          <w:p w14:paraId="3260097B" w14:textId="77777777" w:rsidR="001F3986" w:rsidRDefault="001F3986" w:rsidP="000A412D">
            <w:pPr>
              <w:rPr>
                <w:rFonts w:eastAsia="Calibri" w:cs="Times New Roman"/>
                <w:sz w:val="20"/>
              </w:rPr>
            </w:pPr>
            <w:r>
              <w:rPr>
                <w:rFonts w:eastAsia="Calibri" w:cs="Times New Roman"/>
                <w:sz w:val="20"/>
              </w:rPr>
              <w:t>(</w:t>
            </w:r>
            <w:r w:rsidR="00910BD0">
              <w:rPr>
                <w:rFonts w:eastAsia="Calibri" w:cs="Times New Roman"/>
                <w:sz w:val="20"/>
              </w:rPr>
              <w:t>f</w:t>
            </w:r>
            <w:r>
              <w:rPr>
                <w:rFonts w:eastAsia="Calibri" w:cs="Times New Roman"/>
                <w:sz w:val="20"/>
              </w:rPr>
              <w:t>) Vocational Rehabilitation;</w:t>
            </w:r>
          </w:p>
          <w:p w14:paraId="2958838F" w14:textId="77777777" w:rsidR="001F3986" w:rsidRDefault="001F3986" w:rsidP="000A412D">
            <w:pPr>
              <w:rPr>
                <w:rFonts w:eastAsia="Calibri" w:cs="Times New Roman"/>
                <w:sz w:val="20"/>
              </w:rPr>
            </w:pPr>
            <w:r>
              <w:rPr>
                <w:rFonts w:eastAsia="Calibri" w:cs="Times New Roman"/>
                <w:sz w:val="20"/>
              </w:rPr>
              <w:t>(</w:t>
            </w:r>
            <w:r w:rsidR="00910BD0">
              <w:rPr>
                <w:rFonts w:eastAsia="Calibri" w:cs="Times New Roman"/>
                <w:sz w:val="20"/>
              </w:rPr>
              <w:t>g</w:t>
            </w:r>
            <w:r>
              <w:rPr>
                <w:rFonts w:eastAsia="Calibri" w:cs="Times New Roman"/>
                <w:sz w:val="20"/>
              </w:rPr>
              <w:t xml:space="preserve">) </w:t>
            </w:r>
            <w:r w:rsidRPr="00CB0292">
              <w:rPr>
                <w:rFonts w:eastAsia="Calibri" w:cs="Times New Roman"/>
                <w:sz w:val="20"/>
              </w:rPr>
              <w:t>Substance Abuse and Mental Health Services Administration</w:t>
            </w:r>
            <w:r>
              <w:rPr>
                <w:rFonts w:eastAsia="Calibri" w:cs="Times New Roman"/>
                <w:sz w:val="20"/>
              </w:rPr>
              <w:t>;</w:t>
            </w:r>
          </w:p>
          <w:p w14:paraId="43BBD08D" w14:textId="77777777" w:rsidR="001F3986" w:rsidRDefault="001F3986" w:rsidP="000A412D">
            <w:pPr>
              <w:rPr>
                <w:rFonts w:eastAsia="Calibri" w:cs="Times New Roman"/>
                <w:sz w:val="20"/>
              </w:rPr>
            </w:pPr>
            <w:r>
              <w:rPr>
                <w:rFonts w:eastAsia="Calibri" w:cs="Times New Roman"/>
                <w:sz w:val="20"/>
              </w:rPr>
              <w:t>(</w:t>
            </w:r>
            <w:r w:rsidR="00910BD0">
              <w:rPr>
                <w:rFonts w:eastAsia="Calibri" w:cs="Times New Roman"/>
                <w:sz w:val="20"/>
              </w:rPr>
              <w:t>h</w:t>
            </w:r>
            <w:r>
              <w:rPr>
                <w:rFonts w:eastAsia="Calibri" w:cs="Times New Roman"/>
                <w:sz w:val="20"/>
              </w:rPr>
              <w:t>) School Health; and</w:t>
            </w:r>
          </w:p>
          <w:p w14:paraId="173C95A1" w14:textId="77777777" w:rsidR="001F3986" w:rsidRPr="00A770E5" w:rsidRDefault="001F3986" w:rsidP="00910BD0">
            <w:pPr>
              <w:rPr>
                <w:rFonts w:eastAsia="Calibri" w:cs="Times New Roman"/>
                <w:sz w:val="20"/>
                <w:vertAlign w:val="superscript"/>
              </w:rPr>
            </w:pPr>
            <w:r>
              <w:rPr>
                <w:rFonts w:eastAsia="Calibri" w:cs="Times New Roman"/>
                <w:sz w:val="20"/>
              </w:rPr>
              <w:t>(</w:t>
            </w:r>
            <w:proofErr w:type="spellStart"/>
            <w:r w:rsidR="00910BD0">
              <w:rPr>
                <w:rFonts w:eastAsia="Calibri" w:cs="Times New Roman"/>
                <w:sz w:val="20"/>
              </w:rPr>
              <w:t>i</w:t>
            </w:r>
            <w:proofErr w:type="spellEnd"/>
            <w:r>
              <w:rPr>
                <w:rFonts w:eastAsia="Calibri" w:cs="Times New Roman"/>
                <w:sz w:val="20"/>
              </w:rPr>
              <w:t xml:space="preserve">) </w:t>
            </w:r>
            <w:r w:rsidRPr="00CB0292">
              <w:rPr>
                <w:rFonts w:eastAsia="Calibri" w:cs="Times New Roman"/>
                <w:sz w:val="20"/>
              </w:rPr>
              <w:t>Other Federal, State and Local Programs</w:t>
            </w:r>
            <w:r w:rsidR="001A632B">
              <w:rPr>
                <w:rFonts w:eastAsia="Calibri" w:cs="Times New Roman"/>
                <w:sz w:val="20"/>
                <w:vertAlign w:val="superscript"/>
              </w:rPr>
              <w:t>4</w:t>
            </w:r>
          </w:p>
        </w:tc>
        <w:tc>
          <w:tcPr>
            <w:tcW w:w="761" w:type="pct"/>
            <w:tcBorders>
              <w:top w:val="single" w:sz="8" w:space="0" w:color="4F81BD" w:themeColor="accent1"/>
            </w:tcBorders>
          </w:tcPr>
          <w:p w14:paraId="0A450441" w14:textId="77777777" w:rsidR="001F3986" w:rsidRPr="00A21FFB" w:rsidRDefault="001F3986" w:rsidP="00A770E5">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Pr>
                <w:rFonts w:eastAsia="Calibri" w:cs="Times New Roman"/>
                <w:sz w:val="20"/>
              </w:rPr>
              <w:t>11.04%</w:t>
            </w:r>
          </w:p>
        </w:tc>
      </w:tr>
      <w:tr w:rsidR="001F3986" w:rsidRPr="00A21FFB" w14:paraId="6B777296" w14:textId="77777777" w:rsidTr="001F398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9" w:type="pct"/>
          </w:tcPr>
          <w:p w14:paraId="46389F81" w14:textId="77777777" w:rsidR="001F3986" w:rsidRDefault="001F3986" w:rsidP="00E40370">
            <w:pPr>
              <w:rPr>
                <w:rFonts w:eastAsia="Times New Roman" w:cs="Times New Roman"/>
                <w:color w:val="000000"/>
                <w:sz w:val="20"/>
              </w:rPr>
            </w:pPr>
            <w:r>
              <w:rPr>
                <w:rFonts w:eastAsia="Times New Roman" w:cs="Times New Roman"/>
                <w:color w:val="000000"/>
                <w:sz w:val="20"/>
              </w:rPr>
              <w:t>Out-of-Pocket Payments</w:t>
            </w:r>
          </w:p>
        </w:tc>
        <w:tc>
          <w:tcPr>
            <w:cnfStyle w:val="000010000000" w:firstRow="0" w:lastRow="0" w:firstColumn="0" w:lastColumn="0" w:oddVBand="1" w:evenVBand="0" w:oddHBand="0" w:evenHBand="0" w:firstRowFirstColumn="0" w:firstRowLastColumn="0" w:lastRowFirstColumn="0" w:lastRowLastColumn="0"/>
            <w:tcW w:w="3011" w:type="pct"/>
            <w:gridSpan w:val="3"/>
          </w:tcPr>
          <w:p w14:paraId="054BE5CB" w14:textId="77777777" w:rsidR="001F3986" w:rsidRDefault="001F3986" w:rsidP="00E40370">
            <w:pPr>
              <w:rPr>
                <w:rFonts w:eastAsia="Calibri" w:cs="Times New Roman"/>
                <w:sz w:val="20"/>
              </w:rPr>
            </w:pPr>
            <w:r>
              <w:rPr>
                <w:rFonts w:eastAsia="Calibri" w:cs="Times New Roman"/>
                <w:sz w:val="20"/>
              </w:rPr>
              <w:t>(a) Out-of-pocket payments for services, medicines and medical products not covered by health insurance</w:t>
            </w:r>
          </w:p>
        </w:tc>
        <w:tc>
          <w:tcPr>
            <w:tcW w:w="761" w:type="pct"/>
          </w:tcPr>
          <w:p w14:paraId="4BBB4CA0" w14:textId="77777777" w:rsidR="001F3986" w:rsidRDefault="001F3986" w:rsidP="001F3986">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Pr>
                <w:rFonts w:eastAsia="Calibri" w:cs="Times New Roman"/>
                <w:sz w:val="20"/>
              </w:rPr>
              <w:t>9.46%</w:t>
            </w:r>
          </w:p>
        </w:tc>
      </w:tr>
      <w:tr w:rsidR="001F3986" w:rsidRPr="00A21FFB" w14:paraId="6386F427" w14:textId="77777777" w:rsidTr="001F3986">
        <w:trPr>
          <w:trHeight w:val="313"/>
        </w:trPr>
        <w:tc>
          <w:tcPr>
            <w:cnfStyle w:val="001000000000" w:firstRow="0" w:lastRow="0" w:firstColumn="1" w:lastColumn="0" w:oddVBand="0" w:evenVBand="0" w:oddHBand="0" w:evenHBand="0" w:firstRowFirstColumn="0" w:firstRowLastColumn="0" w:lastRowFirstColumn="0" w:lastRowLastColumn="0"/>
            <w:tcW w:w="1229" w:type="pct"/>
          </w:tcPr>
          <w:p w14:paraId="6073C3E0" w14:textId="77777777" w:rsidR="001F3986" w:rsidRPr="00A21FFB" w:rsidRDefault="001F3986" w:rsidP="00E40370">
            <w:pPr>
              <w:rPr>
                <w:rFonts w:eastAsia="Times New Roman" w:cs="Times New Roman"/>
                <w:color w:val="000000"/>
                <w:sz w:val="20"/>
              </w:rPr>
            </w:pPr>
            <w:r>
              <w:rPr>
                <w:rFonts w:eastAsia="Times New Roman" w:cs="Times New Roman"/>
                <w:color w:val="000000"/>
                <w:sz w:val="20"/>
              </w:rPr>
              <w:t>Type of Insurance</w:t>
            </w:r>
          </w:p>
        </w:tc>
        <w:tc>
          <w:tcPr>
            <w:cnfStyle w:val="000010000000" w:firstRow="0" w:lastRow="0" w:firstColumn="0" w:lastColumn="0" w:oddVBand="1" w:evenVBand="0" w:oddHBand="0" w:evenHBand="0" w:firstRowFirstColumn="0" w:firstRowLastColumn="0" w:lastRowFirstColumn="0" w:lastRowLastColumn="0"/>
            <w:tcW w:w="3011" w:type="pct"/>
            <w:gridSpan w:val="3"/>
          </w:tcPr>
          <w:p w14:paraId="542E4B0E" w14:textId="77777777" w:rsidR="001F3986" w:rsidRPr="00A21FFB" w:rsidRDefault="001F3986" w:rsidP="00E40370">
            <w:pPr>
              <w:rPr>
                <w:rFonts w:eastAsia="Calibri" w:cs="Times New Roman"/>
                <w:sz w:val="20"/>
              </w:rPr>
            </w:pPr>
            <w:r>
              <w:rPr>
                <w:rFonts w:eastAsia="Calibri" w:cs="Times New Roman"/>
                <w:sz w:val="20"/>
              </w:rPr>
              <w:t>(a) Dental Insurance</w:t>
            </w:r>
          </w:p>
        </w:tc>
        <w:tc>
          <w:tcPr>
            <w:tcW w:w="761" w:type="pct"/>
          </w:tcPr>
          <w:p w14:paraId="0F023A65" w14:textId="77777777" w:rsidR="001F3986" w:rsidRPr="00A21FFB" w:rsidRDefault="001F3986" w:rsidP="00E40370">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rPr>
            </w:pPr>
            <w:r>
              <w:rPr>
                <w:rFonts w:eastAsia="Calibri" w:cs="Times New Roman"/>
                <w:sz w:val="20"/>
              </w:rPr>
              <w:t>2.26%</w:t>
            </w:r>
          </w:p>
        </w:tc>
      </w:tr>
      <w:tr w:rsidR="001F3986" w:rsidRPr="00A21FFB" w14:paraId="7047C1D7" w14:textId="77777777" w:rsidTr="001F398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39" w:type="pct"/>
            <w:gridSpan w:val="4"/>
          </w:tcPr>
          <w:p w14:paraId="4B51769A" w14:textId="77777777" w:rsidR="001F3986" w:rsidRDefault="001F3986" w:rsidP="004F7B03">
            <w:pPr>
              <w:rPr>
                <w:rFonts w:eastAsia="Calibri" w:cs="Times New Roman"/>
                <w:sz w:val="20"/>
              </w:rPr>
            </w:pPr>
            <w:r w:rsidRPr="001F3986">
              <w:rPr>
                <w:rFonts w:eastAsia="Times New Roman" w:cs="Times New Roman"/>
                <w:color w:val="000000"/>
                <w:sz w:val="20"/>
              </w:rPr>
              <w:t xml:space="preserve">Total </w:t>
            </w:r>
            <w:r w:rsidR="004F7B03">
              <w:rPr>
                <w:rFonts w:eastAsia="Times New Roman" w:cs="Times New Roman"/>
                <w:color w:val="000000"/>
                <w:sz w:val="20"/>
              </w:rPr>
              <w:t>Itemized</w:t>
            </w:r>
            <w:r w:rsidRPr="001F3986">
              <w:rPr>
                <w:rFonts w:eastAsia="Times New Roman" w:cs="Times New Roman"/>
                <w:color w:val="000000"/>
                <w:sz w:val="20"/>
              </w:rPr>
              <w:t xml:space="preserve"> Difference between THCE and SHEA</w:t>
            </w:r>
          </w:p>
        </w:tc>
        <w:tc>
          <w:tcPr>
            <w:cnfStyle w:val="000010000000" w:firstRow="0" w:lastRow="0" w:firstColumn="0" w:lastColumn="0" w:oddVBand="1" w:evenVBand="0" w:oddHBand="0" w:evenHBand="0" w:firstRowFirstColumn="0" w:firstRowLastColumn="0" w:lastRowFirstColumn="0" w:lastRowLastColumn="0"/>
            <w:tcW w:w="761" w:type="pct"/>
          </w:tcPr>
          <w:p w14:paraId="0F3FC425" w14:textId="77777777" w:rsidR="001F3986" w:rsidRDefault="001F3986" w:rsidP="007D5EFB">
            <w:pPr>
              <w:jc w:val="center"/>
              <w:rPr>
                <w:rFonts w:eastAsia="Calibri" w:cs="Times New Roman"/>
                <w:b/>
                <w:sz w:val="20"/>
              </w:rPr>
            </w:pPr>
            <w:r>
              <w:rPr>
                <w:rFonts w:eastAsia="Calibri" w:cs="Times New Roman"/>
                <w:b/>
                <w:sz w:val="20"/>
              </w:rPr>
              <w:t>22.76%</w:t>
            </w:r>
          </w:p>
          <w:p w14:paraId="1C547CE3" w14:textId="77777777" w:rsidR="001F3986" w:rsidRPr="000A412D" w:rsidRDefault="001F3986" w:rsidP="001F3986">
            <w:pPr>
              <w:rPr>
                <w:rFonts w:eastAsia="Calibri" w:cs="Times New Roman"/>
                <w:b/>
                <w:sz w:val="20"/>
              </w:rPr>
            </w:pPr>
            <w:r>
              <w:rPr>
                <w:rFonts w:eastAsia="Calibri" w:cs="Times New Roman"/>
                <w:b/>
                <w:sz w:val="20"/>
              </w:rPr>
              <w:t>($15.5 billion)</w:t>
            </w:r>
          </w:p>
        </w:tc>
      </w:tr>
      <w:tr w:rsidR="001F3986" w:rsidRPr="00A21FFB" w14:paraId="5C5682E6" w14:textId="77777777" w:rsidTr="001F3986">
        <w:trPr>
          <w:trHeight w:val="432"/>
        </w:trPr>
        <w:tc>
          <w:tcPr>
            <w:cnfStyle w:val="001000000000" w:firstRow="0" w:lastRow="0" w:firstColumn="1" w:lastColumn="0" w:oddVBand="0" w:evenVBand="0" w:oddHBand="0" w:evenHBand="0" w:firstRowFirstColumn="0" w:firstRowLastColumn="0" w:lastRowFirstColumn="0" w:lastRowLastColumn="0"/>
            <w:tcW w:w="4239" w:type="pct"/>
            <w:gridSpan w:val="4"/>
          </w:tcPr>
          <w:p w14:paraId="0BE449D9" w14:textId="77777777" w:rsidR="001F3986" w:rsidRDefault="004F7B03" w:rsidP="004F7B03">
            <w:pPr>
              <w:rPr>
                <w:rFonts w:eastAsia="Times New Roman" w:cs="Times New Roman"/>
                <w:color w:val="000000"/>
                <w:sz w:val="20"/>
              </w:rPr>
            </w:pPr>
            <w:r>
              <w:rPr>
                <w:rFonts w:eastAsia="Times New Roman" w:cs="Times New Roman"/>
                <w:color w:val="000000"/>
                <w:sz w:val="20"/>
              </w:rPr>
              <w:t>Non-itemized</w:t>
            </w:r>
            <w:r w:rsidR="001F3986" w:rsidRPr="001F3986">
              <w:rPr>
                <w:rFonts w:eastAsia="Times New Roman" w:cs="Times New Roman"/>
                <w:color w:val="000000"/>
                <w:sz w:val="20"/>
              </w:rPr>
              <w:t xml:space="preserve"> Difference</w:t>
            </w:r>
          </w:p>
        </w:tc>
        <w:tc>
          <w:tcPr>
            <w:cnfStyle w:val="000010000000" w:firstRow="0" w:lastRow="0" w:firstColumn="0" w:lastColumn="0" w:oddVBand="1" w:evenVBand="0" w:oddHBand="0" w:evenHBand="0" w:firstRowFirstColumn="0" w:firstRowLastColumn="0" w:lastRowFirstColumn="0" w:lastRowLastColumn="0"/>
            <w:tcW w:w="761" w:type="pct"/>
          </w:tcPr>
          <w:p w14:paraId="4FF1BD4F" w14:textId="77777777" w:rsidR="001F3986" w:rsidRDefault="001F3986" w:rsidP="007D5EFB">
            <w:pPr>
              <w:jc w:val="center"/>
              <w:rPr>
                <w:rFonts w:eastAsia="Calibri" w:cs="Times New Roman"/>
                <w:b/>
                <w:sz w:val="20"/>
              </w:rPr>
            </w:pPr>
            <w:r>
              <w:rPr>
                <w:rFonts w:eastAsia="Calibri" w:cs="Times New Roman"/>
                <w:b/>
                <w:sz w:val="20"/>
              </w:rPr>
              <w:t>8.46%</w:t>
            </w:r>
          </w:p>
          <w:p w14:paraId="07F85160" w14:textId="77777777" w:rsidR="001F3986" w:rsidRPr="000A412D" w:rsidRDefault="001F3986" w:rsidP="001F3986">
            <w:pPr>
              <w:jc w:val="center"/>
              <w:rPr>
                <w:rFonts w:eastAsia="Calibri" w:cs="Times New Roman"/>
                <w:b/>
                <w:sz w:val="20"/>
              </w:rPr>
            </w:pPr>
            <w:r>
              <w:rPr>
                <w:rFonts w:eastAsia="Calibri" w:cs="Times New Roman"/>
                <w:b/>
                <w:sz w:val="20"/>
              </w:rPr>
              <w:t>($5.8 billion)</w:t>
            </w:r>
          </w:p>
        </w:tc>
      </w:tr>
    </w:tbl>
    <w:p w14:paraId="7DE8A624" w14:textId="77777777" w:rsidR="00573771" w:rsidRDefault="007466B4" w:rsidP="00573771">
      <w:pPr>
        <w:spacing w:after="0"/>
        <w:rPr>
          <w:sz w:val="18"/>
        </w:rPr>
      </w:pPr>
      <w:r w:rsidRPr="007466B4">
        <w:rPr>
          <w:sz w:val="18"/>
        </w:rPr>
        <w:t>Note</w:t>
      </w:r>
      <w:r w:rsidR="00573771">
        <w:rPr>
          <w:sz w:val="18"/>
        </w:rPr>
        <w:t>s:</w:t>
      </w:r>
    </w:p>
    <w:p w14:paraId="613AA531" w14:textId="77777777" w:rsidR="001F3986" w:rsidRDefault="007466B4" w:rsidP="001F3986">
      <w:pPr>
        <w:pStyle w:val="ListParagraph"/>
        <w:numPr>
          <w:ilvl w:val="0"/>
          <w:numId w:val="4"/>
        </w:numPr>
        <w:spacing w:after="0"/>
        <w:ind w:left="360"/>
        <w:rPr>
          <w:sz w:val="18"/>
        </w:rPr>
      </w:pPr>
      <w:r w:rsidRPr="00AF5FAF">
        <w:rPr>
          <w:sz w:val="18"/>
        </w:rPr>
        <w:t xml:space="preserve">SHEA does not include the spending of NCPHI. </w:t>
      </w:r>
      <w:r w:rsidR="00DE768A">
        <w:rPr>
          <w:sz w:val="18"/>
        </w:rPr>
        <w:t>For purpose of comparison</w:t>
      </w:r>
      <w:r w:rsidR="006253F0">
        <w:rPr>
          <w:sz w:val="18"/>
        </w:rPr>
        <w:t>,</w:t>
      </w:r>
      <w:r w:rsidR="00DE768A">
        <w:rPr>
          <w:sz w:val="18"/>
        </w:rPr>
        <w:t xml:space="preserve"> </w:t>
      </w:r>
      <w:r w:rsidRPr="00AF5FAF">
        <w:rPr>
          <w:sz w:val="18"/>
        </w:rPr>
        <w:t>NCPHI is excluded from THCE</w:t>
      </w:r>
      <w:r w:rsidR="00DE768A">
        <w:rPr>
          <w:sz w:val="18"/>
        </w:rPr>
        <w:t>.</w:t>
      </w:r>
    </w:p>
    <w:p w14:paraId="21E03B38" w14:textId="77777777" w:rsidR="001A632B" w:rsidRDefault="001A632B" w:rsidP="001F3986">
      <w:pPr>
        <w:pStyle w:val="ListParagraph"/>
        <w:numPr>
          <w:ilvl w:val="0"/>
          <w:numId w:val="4"/>
        </w:numPr>
        <w:spacing w:after="0"/>
        <w:ind w:left="360"/>
        <w:rPr>
          <w:sz w:val="18"/>
        </w:rPr>
      </w:pPr>
      <w:r>
        <w:rPr>
          <w:sz w:val="18"/>
        </w:rPr>
        <w:t xml:space="preserve">The </w:t>
      </w:r>
      <w:r w:rsidR="0085528A">
        <w:rPr>
          <w:sz w:val="18"/>
        </w:rPr>
        <w:t xml:space="preserve">estimated </w:t>
      </w:r>
      <w:r>
        <w:rPr>
          <w:sz w:val="18"/>
        </w:rPr>
        <w:t xml:space="preserve">proportion of each expenditure component </w:t>
      </w:r>
      <w:r w:rsidR="0085528A">
        <w:rPr>
          <w:sz w:val="18"/>
        </w:rPr>
        <w:t>is based on the dollar amount distribution from the Personal Health Care Expenditure component of 2012 NHEA (the most current data).</w:t>
      </w:r>
    </w:p>
    <w:p w14:paraId="324C94D5" w14:textId="77777777" w:rsidR="001F3986" w:rsidRPr="001F3986" w:rsidRDefault="001F3986" w:rsidP="001F3986">
      <w:pPr>
        <w:pStyle w:val="ListParagraph"/>
        <w:numPr>
          <w:ilvl w:val="0"/>
          <w:numId w:val="4"/>
        </w:numPr>
        <w:spacing w:after="0"/>
        <w:ind w:left="360"/>
        <w:rPr>
          <w:sz w:val="18"/>
        </w:rPr>
      </w:pPr>
      <w:r w:rsidRPr="001F3986">
        <w:rPr>
          <w:sz w:val="18"/>
        </w:rPr>
        <w:t>Include philanthropic funding and other non-patient revenues (e.g. revenues from the operation of gift shops</w:t>
      </w:r>
      <w:r w:rsidR="006253F0">
        <w:rPr>
          <w:sz w:val="18"/>
        </w:rPr>
        <w:t>,</w:t>
      </w:r>
      <w:r w:rsidRPr="001F3986">
        <w:rPr>
          <w:sz w:val="18"/>
        </w:rPr>
        <w:t xml:space="preserve"> parking lots and investment income</w:t>
      </w:r>
      <w:r w:rsidR="00DE768A">
        <w:rPr>
          <w:sz w:val="18"/>
        </w:rPr>
        <w:t>).</w:t>
      </w:r>
    </w:p>
    <w:p w14:paraId="3EF67FC7" w14:textId="77777777" w:rsidR="00AF5FAF" w:rsidRDefault="00A93930" w:rsidP="00AF5FAF">
      <w:pPr>
        <w:pStyle w:val="ListParagraph"/>
        <w:numPr>
          <w:ilvl w:val="0"/>
          <w:numId w:val="4"/>
        </w:numPr>
        <w:spacing w:after="0"/>
        <w:ind w:left="360"/>
        <w:rPr>
          <w:sz w:val="18"/>
        </w:rPr>
      </w:pPr>
      <w:r>
        <w:rPr>
          <w:sz w:val="18"/>
        </w:rPr>
        <w:t>Include</w:t>
      </w:r>
      <w:r w:rsidR="00AF5FAF" w:rsidRPr="00AF5FAF">
        <w:rPr>
          <w:sz w:val="18"/>
        </w:rPr>
        <w:t xml:space="preserve">, but </w:t>
      </w:r>
      <w:r w:rsidR="006253F0">
        <w:rPr>
          <w:sz w:val="18"/>
        </w:rPr>
        <w:t xml:space="preserve">is </w:t>
      </w:r>
      <w:r w:rsidR="00AF5FAF" w:rsidRPr="00AF5FAF">
        <w:rPr>
          <w:sz w:val="18"/>
        </w:rPr>
        <w:t>not limited to, pre-existing conditions</w:t>
      </w:r>
      <w:r w:rsidR="006253F0">
        <w:rPr>
          <w:sz w:val="18"/>
        </w:rPr>
        <w:t>,</w:t>
      </w:r>
      <w:r w:rsidR="00AF5FAF" w:rsidRPr="00AF5FAF">
        <w:rPr>
          <w:sz w:val="18"/>
        </w:rPr>
        <w:t xml:space="preserve"> insurance plans</w:t>
      </w:r>
      <w:r w:rsidR="006253F0">
        <w:rPr>
          <w:sz w:val="18"/>
        </w:rPr>
        <w:t>;</w:t>
      </w:r>
      <w:r w:rsidR="00AF5FAF" w:rsidRPr="00AF5FAF">
        <w:rPr>
          <w:sz w:val="18"/>
        </w:rPr>
        <w:t xml:space="preserve"> temporary disability insurance</w:t>
      </w:r>
      <w:r w:rsidR="006253F0">
        <w:rPr>
          <w:sz w:val="18"/>
        </w:rPr>
        <w:t>;</w:t>
      </w:r>
      <w:r w:rsidR="00AF5FAF" w:rsidRPr="00AF5FAF">
        <w:rPr>
          <w:sz w:val="18"/>
        </w:rPr>
        <w:t xml:space="preserve"> and federal, state</w:t>
      </w:r>
      <w:r w:rsidR="006253F0">
        <w:rPr>
          <w:sz w:val="18"/>
        </w:rPr>
        <w:t>,</w:t>
      </w:r>
      <w:r w:rsidR="00AF5FAF" w:rsidRPr="00AF5FAF">
        <w:rPr>
          <w:sz w:val="18"/>
        </w:rPr>
        <w:t xml:space="preserve"> and local subsidies to providers</w:t>
      </w:r>
      <w:r w:rsidR="006253F0">
        <w:rPr>
          <w:sz w:val="18"/>
        </w:rPr>
        <w:t>.</w:t>
      </w:r>
    </w:p>
    <w:p w14:paraId="1190CB50" w14:textId="77777777" w:rsidR="0085528A" w:rsidRPr="0085528A" w:rsidRDefault="0085528A" w:rsidP="00881164"/>
    <w:p w14:paraId="7AD4839E" w14:textId="77777777" w:rsidR="00881164" w:rsidRPr="00E06BEE" w:rsidRDefault="00881164" w:rsidP="00881164">
      <w:pPr>
        <w:rPr>
          <w:b/>
        </w:rPr>
      </w:pPr>
      <w:r w:rsidRPr="00E06BEE">
        <w:rPr>
          <w:b/>
        </w:rPr>
        <w:lastRenderedPageBreak/>
        <w:t>Conclusion</w:t>
      </w:r>
    </w:p>
    <w:p w14:paraId="45CA3025" w14:textId="77777777" w:rsidR="006A2272" w:rsidRPr="00E06BEE" w:rsidRDefault="00BD6167" w:rsidP="00881164">
      <w:r w:rsidRPr="00E06BEE">
        <w:t>THCE and SHEA were both developed to calculate total health</w:t>
      </w:r>
      <w:r w:rsidR="00BC541C" w:rsidRPr="00E06BEE">
        <w:t xml:space="preserve"> care spending on a state level. However,</w:t>
      </w:r>
      <w:r w:rsidRPr="00E06BEE">
        <w:t xml:space="preserve"> these </w:t>
      </w:r>
      <w:r w:rsidR="00BC541C" w:rsidRPr="00E06BEE">
        <w:t xml:space="preserve">two </w:t>
      </w:r>
      <w:r w:rsidRPr="00E06BEE">
        <w:t>measures di</w:t>
      </w:r>
      <w:r w:rsidR="00BC541C" w:rsidRPr="00E06BEE">
        <w:t xml:space="preserve">ffer considerably in </w:t>
      </w:r>
      <w:r w:rsidR="000F1E40">
        <w:t xml:space="preserve">their </w:t>
      </w:r>
      <w:r w:rsidR="00BC541C" w:rsidRPr="00E06BEE">
        <w:t>methodologies</w:t>
      </w:r>
      <w:r w:rsidRPr="00E06BEE">
        <w:t>, data sources</w:t>
      </w:r>
      <w:r w:rsidR="008235BC">
        <w:t>, timing</w:t>
      </w:r>
      <w:r w:rsidR="006253F0">
        <w:t>,</w:t>
      </w:r>
      <w:r w:rsidRPr="00E06BEE">
        <w:t xml:space="preserve"> and </w:t>
      </w:r>
      <w:r w:rsidR="000F1E40">
        <w:t>intended uses</w:t>
      </w:r>
      <w:r w:rsidRPr="00E06BEE">
        <w:t xml:space="preserve">. </w:t>
      </w:r>
      <w:r w:rsidR="00E06BEE" w:rsidRPr="00E06BEE">
        <w:t>SHEA is</w:t>
      </w:r>
      <w:r w:rsidR="006A2272" w:rsidRPr="00E06BEE">
        <w:t xml:space="preserve"> constructed from </w:t>
      </w:r>
      <w:r w:rsidR="00BC541C" w:rsidRPr="00E06BEE">
        <w:t>census and</w:t>
      </w:r>
      <w:r w:rsidR="006A2272" w:rsidRPr="00E06BEE">
        <w:t xml:space="preserve"> industry surveys, </w:t>
      </w:r>
      <w:r w:rsidR="006253F0">
        <w:t xml:space="preserve">and </w:t>
      </w:r>
      <w:r w:rsidR="006A2272" w:rsidRPr="00E06BEE">
        <w:t xml:space="preserve">supplemented with information from government program and budget reports and Medicare claims. </w:t>
      </w:r>
      <w:r w:rsidR="00E80E93" w:rsidRPr="00E06BEE">
        <w:t xml:space="preserve"> </w:t>
      </w:r>
      <w:r w:rsidR="00746375" w:rsidRPr="00E06BEE">
        <w:t xml:space="preserve">The </w:t>
      </w:r>
      <w:r w:rsidR="000F1E40">
        <w:t xml:space="preserve">majority of the </w:t>
      </w:r>
      <w:r w:rsidR="00746375" w:rsidRPr="00E06BEE">
        <w:t>data sources for SHEA</w:t>
      </w:r>
      <w:r w:rsidR="00BC541C" w:rsidRPr="00E06BEE">
        <w:t xml:space="preserve"> are collected </w:t>
      </w:r>
      <w:r w:rsidR="000F1E40">
        <w:t>only every few years,</w:t>
      </w:r>
      <w:r w:rsidR="00BC541C" w:rsidRPr="00E06BEE">
        <w:t xml:space="preserve"> and the spending estimates are</w:t>
      </w:r>
      <w:r w:rsidR="00746375" w:rsidRPr="00E06BEE">
        <w:t xml:space="preserve"> first developed for</w:t>
      </w:r>
      <w:r w:rsidR="00BC541C" w:rsidRPr="00E06BEE">
        <w:t xml:space="preserve"> national totals </w:t>
      </w:r>
      <w:r w:rsidR="00BC541C" w:rsidRPr="00BD765A">
        <w:t>and the</w:t>
      </w:r>
      <w:r w:rsidR="00746375" w:rsidRPr="00BD765A">
        <w:t xml:space="preserve">n </w:t>
      </w:r>
      <w:r w:rsidR="00BD765A" w:rsidRPr="00BD765A">
        <w:t xml:space="preserve">attributed </w:t>
      </w:r>
      <w:r w:rsidR="00746375" w:rsidRPr="00BD765A">
        <w:t>to the states for each type of service</w:t>
      </w:r>
      <w:r w:rsidR="00BC541C" w:rsidRPr="00BD765A">
        <w:t>. As a result,</w:t>
      </w:r>
      <w:r w:rsidR="006A2272" w:rsidRPr="00BD765A">
        <w:t xml:space="preserve"> the most </w:t>
      </w:r>
      <w:r w:rsidR="00746375" w:rsidRPr="00BD765A">
        <w:t>current</w:t>
      </w:r>
      <w:r w:rsidR="006A2272" w:rsidRPr="00BD765A">
        <w:t xml:space="preserve"> SHEA</w:t>
      </w:r>
      <w:r w:rsidR="00BC541C" w:rsidRPr="00BD765A">
        <w:t xml:space="preserve"> data</w:t>
      </w:r>
      <w:r w:rsidR="000F1E40" w:rsidRPr="00BD765A">
        <w:t>, published in 2011,</w:t>
      </w:r>
      <w:r w:rsidR="00746375" w:rsidRPr="00BD765A">
        <w:t xml:space="preserve"> is</w:t>
      </w:r>
      <w:r w:rsidR="00BC541C" w:rsidRPr="00BD765A">
        <w:t xml:space="preserve"> for calendar year 2009</w:t>
      </w:r>
      <w:r w:rsidR="00746375" w:rsidRPr="00BD765A">
        <w:t>.</w:t>
      </w:r>
      <w:r w:rsidR="006A2272" w:rsidRPr="00BD765A">
        <w:t xml:space="preserve"> </w:t>
      </w:r>
      <w:r w:rsidR="005D135E" w:rsidRPr="00BD765A">
        <w:t xml:space="preserve">The purpose of SHEA differs from THCE, as </w:t>
      </w:r>
      <w:r w:rsidR="006A2272" w:rsidRPr="00BD765A">
        <w:t xml:space="preserve">SHEA is intended to be a metric that allows for a standard comparison of health care expenditures </w:t>
      </w:r>
      <w:r w:rsidR="005D135E" w:rsidRPr="00BD765A">
        <w:t xml:space="preserve">across </w:t>
      </w:r>
      <w:r w:rsidR="006A2272" w:rsidRPr="00BD765A">
        <w:t>different states.</w:t>
      </w:r>
      <w:r w:rsidR="006A2272" w:rsidRPr="00E06BEE">
        <w:t xml:space="preserve"> </w:t>
      </w:r>
    </w:p>
    <w:p w14:paraId="78A5DD12" w14:textId="77777777" w:rsidR="00A77A0A" w:rsidRPr="00E06BEE" w:rsidRDefault="005D135E" w:rsidP="003A1A9E">
      <w:r w:rsidRPr="00E06BEE">
        <w:t xml:space="preserve">THCE, in contrast, is intended to monitor year-over-year </w:t>
      </w:r>
      <w:r w:rsidR="00D930B9">
        <w:t xml:space="preserve">trends in </w:t>
      </w:r>
      <w:r w:rsidRPr="00E06BEE">
        <w:t>health care spending for Massachusetts residents</w:t>
      </w:r>
      <w:r w:rsidR="00746375" w:rsidRPr="00E06BEE">
        <w:t xml:space="preserve"> and </w:t>
      </w:r>
      <w:r w:rsidR="00E06BEE" w:rsidRPr="00E06BEE">
        <w:t xml:space="preserve">to </w:t>
      </w:r>
      <w:r w:rsidR="00746375" w:rsidRPr="00E06BEE">
        <w:t>compare</w:t>
      </w:r>
      <w:r w:rsidR="00E06BEE" w:rsidRPr="00E06BEE">
        <w:t xml:space="preserve"> the rate of growth</w:t>
      </w:r>
      <w:r w:rsidR="00746375" w:rsidRPr="00E06BEE">
        <w:t xml:space="preserve"> against the health care cost growth benchmark</w:t>
      </w:r>
      <w:r w:rsidR="002B5F16">
        <w:t>,</w:t>
      </w:r>
      <w:r w:rsidR="002B5F16" w:rsidRPr="00E06BEE">
        <w:t xml:space="preserve"> as outlined in Chapter 224 of the Acts of 2012</w:t>
      </w:r>
      <w:r w:rsidRPr="00E06BEE">
        <w:t xml:space="preserve">. </w:t>
      </w:r>
      <w:r w:rsidR="00BD6167" w:rsidRPr="00E06BEE">
        <w:t xml:space="preserve"> </w:t>
      </w:r>
      <w:r w:rsidR="00D930B9">
        <w:t xml:space="preserve">This </w:t>
      </w:r>
      <w:r w:rsidR="00E716DC">
        <w:t xml:space="preserve">requires </w:t>
      </w:r>
      <w:r w:rsidR="00E716DC" w:rsidRPr="00E06BEE">
        <w:t>timely</w:t>
      </w:r>
      <w:r w:rsidR="00BD6167" w:rsidRPr="00E06BEE">
        <w:t xml:space="preserve">, relevant, and actionable data specific to </w:t>
      </w:r>
      <w:r w:rsidR="006A2272" w:rsidRPr="00E06BEE">
        <w:t>the Massachusetts health care system</w:t>
      </w:r>
      <w:r w:rsidR="00BD6167" w:rsidRPr="00E06BEE">
        <w:t xml:space="preserve">. Toward that end, THCE is </w:t>
      </w:r>
      <w:r w:rsidR="006A2272" w:rsidRPr="00E06BEE">
        <w:t xml:space="preserve">sourced from data filed directly </w:t>
      </w:r>
      <w:r w:rsidR="00D930B9">
        <w:t xml:space="preserve">by </w:t>
      </w:r>
      <w:r w:rsidR="006A2272" w:rsidRPr="00E06BEE">
        <w:t xml:space="preserve">health care payers on an annual basis. </w:t>
      </w:r>
      <w:r w:rsidR="00D930B9">
        <w:t>These</w:t>
      </w:r>
      <w:r w:rsidR="006A2272" w:rsidRPr="00E06BEE">
        <w:t xml:space="preserve"> data allow for detailed analys</w:t>
      </w:r>
      <w:r w:rsidR="00D930B9">
        <w:t>e</w:t>
      </w:r>
      <w:r w:rsidR="006A2272" w:rsidRPr="00E06BEE">
        <w:t xml:space="preserve">s of expenditures by both payers and providers, as </w:t>
      </w:r>
      <w:r w:rsidR="00D930B9">
        <w:t>mandated by the L</w:t>
      </w:r>
      <w:r w:rsidR="006A2272" w:rsidRPr="00E06BEE">
        <w:t>egislat</w:t>
      </w:r>
      <w:r w:rsidR="00D930B9">
        <w:t>ure</w:t>
      </w:r>
      <w:r w:rsidR="006A2272" w:rsidRPr="00E06BEE">
        <w:t xml:space="preserve">. </w:t>
      </w:r>
      <w:r w:rsidRPr="00E06BEE">
        <w:t>Because of the significant dif</w:t>
      </w:r>
      <w:r w:rsidR="00E06BEE" w:rsidRPr="00E06BEE">
        <w:t xml:space="preserve">ferences, THCE and SHEA </w:t>
      </w:r>
      <w:r w:rsidRPr="00E06BEE">
        <w:t xml:space="preserve">are not comparable, and it is important </w:t>
      </w:r>
      <w:r w:rsidR="00D930B9">
        <w:t>for</w:t>
      </w:r>
      <w:r w:rsidR="00D930B9" w:rsidRPr="00E06BEE">
        <w:t xml:space="preserve"> </w:t>
      </w:r>
      <w:r w:rsidR="00D930B9">
        <w:t>data</w:t>
      </w:r>
      <w:r w:rsidR="008235BC">
        <w:t xml:space="preserve"> users</w:t>
      </w:r>
      <w:r w:rsidR="00D930B9">
        <w:t xml:space="preserve"> to understand the advantages and limitations </w:t>
      </w:r>
      <w:r w:rsidR="001A632B">
        <w:t>of each</w:t>
      </w:r>
      <w:r w:rsidR="00D930B9">
        <w:t xml:space="preserve"> measure so </w:t>
      </w:r>
      <w:r w:rsidR="006253F0">
        <w:t xml:space="preserve">that </w:t>
      </w:r>
      <w:r w:rsidR="00D930B9">
        <w:t>they can be</w:t>
      </w:r>
      <w:r w:rsidRPr="00E06BEE">
        <w:t xml:space="preserve"> used appropriately. Both THCE and SHEA capture valuable health care system data, enabling important policy assessment of health care expenditures</w:t>
      </w:r>
      <w:r w:rsidR="00A77A0A" w:rsidRPr="00E06BEE">
        <w:t xml:space="preserve"> and growth trends.</w:t>
      </w:r>
    </w:p>
    <w:p w14:paraId="0E1EEF62" w14:textId="77777777" w:rsidR="005D135E" w:rsidRDefault="00A77A0A" w:rsidP="003A1A9E">
      <w:r w:rsidRPr="00E06BEE">
        <w:t>THCE is a customized measure to monitor health care costs and cost trends in Massachusetts. CHIA will continue to work</w:t>
      </w:r>
      <w:r w:rsidR="00746375" w:rsidRPr="00E06BEE">
        <w:t xml:space="preserve"> with the health care community and the state</w:t>
      </w:r>
      <w:r w:rsidRPr="00E06BEE">
        <w:t xml:space="preserve"> and federal agencies to </w:t>
      </w:r>
      <w:r w:rsidR="00C45AF3">
        <w:t>enhance the comprehensiveness and timeliness of</w:t>
      </w:r>
      <w:r w:rsidR="00FA0472">
        <w:t xml:space="preserve"> THCE.</w:t>
      </w:r>
    </w:p>
    <w:p w14:paraId="53D22F2F" w14:textId="77777777" w:rsidR="00FA0472" w:rsidRDefault="00FA0472" w:rsidP="003A1A9E"/>
    <w:p w14:paraId="4168FAD6" w14:textId="77777777" w:rsidR="00FA0472" w:rsidRDefault="00FA0472" w:rsidP="003A1A9E"/>
    <w:p w14:paraId="736BB8A2" w14:textId="77777777" w:rsidR="00FA0472" w:rsidRDefault="00FA0472" w:rsidP="003A1A9E"/>
    <w:p w14:paraId="06971757" w14:textId="77777777" w:rsidR="00FA0472" w:rsidRDefault="00FA0472" w:rsidP="003A1A9E"/>
    <w:p w14:paraId="6D671B13" w14:textId="77777777" w:rsidR="00FA0472" w:rsidRDefault="00FA0472" w:rsidP="003A1A9E"/>
    <w:p w14:paraId="2786AA21" w14:textId="77777777" w:rsidR="00FA0472" w:rsidRPr="00FA0472" w:rsidRDefault="00FA0472" w:rsidP="00FA0472">
      <w:pPr>
        <w:spacing w:after="0"/>
        <w:rPr>
          <w:b/>
        </w:rPr>
      </w:pPr>
      <w:r w:rsidRPr="00FA0472">
        <w:rPr>
          <w:b/>
        </w:rPr>
        <w:t>Prepared by</w:t>
      </w:r>
    </w:p>
    <w:p w14:paraId="74398223" w14:textId="77777777" w:rsidR="00FA0472" w:rsidRPr="00FA0472" w:rsidRDefault="00FA0472" w:rsidP="003A1A9E">
      <w:r w:rsidRPr="00FA0472">
        <w:t>Dr. Po-Yu (Alex) Lai, Director of Health System Finance</w:t>
      </w:r>
    </w:p>
    <w:sectPr w:rsidR="00FA0472" w:rsidRPr="00FA0472" w:rsidSect="00376B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C789B" w14:textId="77777777" w:rsidR="00574BC2" w:rsidRDefault="00574BC2" w:rsidP="003A1A9E">
      <w:pPr>
        <w:spacing w:after="0" w:line="240" w:lineRule="auto"/>
      </w:pPr>
      <w:r>
        <w:separator/>
      </w:r>
    </w:p>
  </w:endnote>
  <w:endnote w:type="continuationSeparator" w:id="0">
    <w:p w14:paraId="402D112E" w14:textId="77777777" w:rsidR="00574BC2" w:rsidRDefault="00574BC2" w:rsidP="003A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80D9" w14:textId="77777777" w:rsidR="00574BC2" w:rsidRDefault="00574BC2" w:rsidP="003A1A9E">
      <w:pPr>
        <w:spacing w:after="0" w:line="240" w:lineRule="auto"/>
      </w:pPr>
      <w:r>
        <w:separator/>
      </w:r>
    </w:p>
  </w:footnote>
  <w:footnote w:type="continuationSeparator" w:id="0">
    <w:p w14:paraId="5D2BCD45" w14:textId="77777777" w:rsidR="00574BC2" w:rsidRDefault="00574BC2" w:rsidP="003A1A9E">
      <w:pPr>
        <w:spacing w:after="0" w:line="240" w:lineRule="auto"/>
      </w:pPr>
      <w:r>
        <w:continuationSeparator/>
      </w:r>
    </w:p>
  </w:footnote>
  <w:footnote w:id="1">
    <w:p w14:paraId="2F5C51D3" w14:textId="77777777" w:rsidR="00A557F0" w:rsidRDefault="00A557F0" w:rsidP="00A557F0">
      <w:pPr>
        <w:pStyle w:val="FootnoteText"/>
      </w:pPr>
      <w:r>
        <w:rPr>
          <w:rStyle w:val="FootnoteReference"/>
        </w:rPr>
        <w:footnoteRef/>
      </w:r>
      <w:r>
        <w:t xml:space="preserve"> SHEA is published every 5 years by CMS. The most current SHEA was released in December 2011 for </w:t>
      </w:r>
      <w:r w:rsidR="007466B4">
        <w:t>data years 2005-2009</w:t>
      </w:r>
      <w:r>
        <w:t>.</w:t>
      </w:r>
    </w:p>
  </w:footnote>
  <w:footnote w:id="2">
    <w:p w14:paraId="03BBCCB2" w14:textId="77777777" w:rsidR="00750DD9" w:rsidRDefault="00750DD9">
      <w:pPr>
        <w:pStyle w:val="FootnoteText"/>
      </w:pPr>
      <w:r>
        <w:rPr>
          <w:rStyle w:val="FootnoteReference"/>
        </w:rPr>
        <w:footnoteRef/>
      </w:r>
      <w:r>
        <w:t xml:space="preserve"> Patient cost</w:t>
      </w:r>
      <w:r w:rsidR="006253F0">
        <w:t>-</w:t>
      </w:r>
      <w:r>
        <w:t>sharing amounts are included in the TME data.</w:t>
      </w:r>
    </w:p>
  </w:footnote>
  <w:footnote w:id="3">
    <w:p w14:paraId="56A86F40" w14:textId="77777777" w:rsidR="00750DD9" w:rsidRDefault="00750DD9">
      <w:pPr>
        <w:pStyle w:val="FootnoteText"/>
      </w:pPr>
      <w:r>
        <w:rPr>
          <w:rStyle w:val="FootnoteReference"/>
        </w:rPr>
        <w:footnoteRef/>
      </w:r>
      <w:r>
        <w:t xml:space="preserve"> </w:t>
      </w:r>
      <w:r w:rsidRPr="00750DD9">
        <w:t>NCPHI captures the costs to Massachusetts residents associated with the administration of commercial health insurance. This includes the costs associated with commercial administration of public programs such as Medicaid Managed Care Organizations.</w:t>
      </w:r>
    </w:p>
  </w:footnote>
  <w:footnote w:id="4">
    <w:p w14:paraId="16C0D8FF" w14:textId="77777777" w:rsidR="00D476C4" w:rsidRDefault="00D476C4">
      <w:pPr>
        <w:pStyle w:val="FootnoteText"/>
      </w:pPr>
      <w:r>
        <w:rPr>
          <w:rStyle w:val="FootnoteReference"/>
        </w:rPr>
        <w:footnoteRef/>
      </w:r>
      <w:r>
        <w:t xml:space="preserve"> </w:t>
      </w:r>
      <w:proofErr w:type="gramStart"/>
      <w:r>
        <w:t xml:space="preserve">Center for Health Information and </w:t>
      </w:r>
      <w:r w:rsidRPr="003A1A9E">
        <w:t>Analysis (2013).</w:t>
      </w:r>
      <w:proofErr w:type="gramEnd"/>
      <w:r w:rsidRPr="003A1A9E">
        <w:t xml:space="preserve"> </w:t>
      </w:r>
      <w:proofErr w:type="gramStart"/>
      <w:r w:rsidRPr="003A1A9E">
        <w:t>M</w:t>
      </w:r>
      <w:r>
        <w:t xml:space="preserve">assachusetts Total Health Care </w:t>
      </w:r>
      <w:r w:rsidRPr="003A1A9E">
        <w:t>Expenditure Methodology.</w:t>
      </w:r>
      <w:proofErr w:type="gramEnd"/>
      <w:r w:rsidRPr="003A1A9E">
        <w:t xml:space="preserve"> Available at: </w:t>
      </w:r>
      <w:hyperlink r:id="rId1" w:history="1">
        <w:r w:rsidRPr="00263546">
          <w:rPr>
            <w:rStyle w:val="Hyperlink"/>
          </w:rPr>
          <w:t>http://www.mass.gov/chia/docs/r/pubs/13/thce-methodology.pdf</w:t>
        </w:r>
      </w:hyperlink>
      <w:r>
        <w:t xml:space="preserve"> (Accessed: September 5, 2014) </w:t>
      </w:r>
    </w:p>
  </w:footnote>
  <w:footnote w:id="5">
    <w:p w14:paraId="7F5173F1" w14:textId="77777777" w:rsidR="00D476C4" w:rsidRDefault="00D476C4" w:rsidP="0046530B">
      <w:pPr>
        <w:pStyle w:val="FootnoteText"/>
      </w:pPr>
      <w:r>
        <w:rPr>
          <w:rStyle w:val="FootnoteReference"/>
        </w:rPr>
        <w:footnoteRef/>
      </w:r>
      <w:r>
        <w:t xml:space="preserve"> </w:t>
      </w:r>
      <w:proofErr w:type="gramStart"/>
      <w:r>
        <w:t>Centers for Medicare and Medicaid Services (2011).</w:t>
      </w:r>
      <w:proofErr w:type="gramEnd"/>
      <w:r>
        <w:t xml:space="preserve"> State Health Expenditure Accounts, 1991-2009: Converting Estimates from State of Provider to State of Residence. Available at:</w:t>
      </w:r>
      <w:r w:rsidRPr="0046530B">
        <w:t xml:space="preserve"> </w:t>
      </w:r>
      <w:hyperlink r:id="rId2" w:history="1">
        <w:r w:rsidRPr="00263546">
          <w:rPr>
            <w:rStyle w:val="Hyperlink"/>
          </w:rPr>
          <w:t>http://www.cms.gov/Research-Statistics-Data-and-Systems/Statistics-Trends-and-Reports/NationalHealthExpendData/Downloads/res-methodology.pdf</w:t>
        </w:r>
      </w:hyperlink>
      <w:r>
        <w:t xml:space="preserve"> (Accessed: September 12, 2014)</w:t>
      </w:r>
    </w:p>
  </w:footnote>
  <w:footnote w:id="6">
    <w:p w14:paraId="72D9E56D" w14:textId="77777777" w:rsidR="00D476C4" w:rsidRDefault="00D476C4">
      <w:pPr>
        <w:pStyle w:val="FootnoteText"/>
      </w:pPr>
      <w:r>
        <w:rPr>
          <w:rStyle w:val="FootnoteReference"/>
        </w:rPr>
        <w:footnoteRef/>
      </w:r>
      <w:r>
        <w:t xml:space="preserve"> In NHEA, the </w:t>
      </w:r>
      <w:r w:rsidRPr="00316294">
        <w:t>P</w:t>
      </w:r>
      <w:r>
        <w:t xml:space="preserve">ersonal </w:t>
      </w:r>
      <w:r w:rsidRPr="00316294">
        <w:t>H</w:t>
      </w:r>
      <w:r>
        <w:t xml:space="preserve">ealth </w:t>
      </w:r>
      <w:r w:rsidRPr="00316294">
        <w:t>C</w:t>
      </w:r>
      <w:r>
        <w:t>are component</w:t>
      </w:r>
      <w:r w:rsidRPr="00316294">
        <w:t xml:space="preserve"> excludes expenditures for </w:t>
      </w:r>
      <w:r>
        <w:t>government administration, the net cost of private health insurance</w:t>
      </w:r>
      <w:r w:rsidRPr="00316294">
        <w:t>, government public health activities, investment in research, and structures and equipment.</w:t>
      </w:r>
      <w:r>
        <w:t xml:space="preserve"> Please see CMS’s </w:t>
      </w:r>
      <w:r w:rsidRPr="00D97048">
        <w:t>National Health Expenditures Accounts: Methodology Paper, 2012</w:t>
      </w:r>
      <w:r>
        <w:t xml:space="preserve">. Available at: </w:t>
      </w:r>
      <w:hyperlink r:id="rId3" w:history="1">
        <w:r w:rsidRPr="00BE5026">
          <w:rPr>
            <w:rStyle w:val="Hyperlink"/>
          </w:rPr>
          <w:t>http://www.cms.gov/Research-Statistics-Data-and-Systems/Statistics-Trends-and-Reports/NationalHealthExpendData/Downloads/dsm-12.pdf</w:t>
        </w:r>
      </w:hyperlink>
      <w:r>
        <w:t xml:space="preserve"> (Accessed: September 12, 2014)</w:t>
      </w:r>
    </w:p>
  </w:footnote>
  <w:footnote w:id="7">
    <w:p w14:paraId="2C43709F" w14:textId="77777777" w:rsidR="00421077" w:rsidRDefault="00421077">
      <w:pPr>
        <w:pStyle w:val="FootnoteText"/>
      </w:pPr>
      <w:r>
        <w:rPr>
          <w:rStyle w:val="FootnoteReference"/>
        </w:rPr>
        <w:footnoteRef/>
      </w:r>
      <w:r>
        <w:t xml:space="preserve"> MassHealth is Massachusetts’ Medicaid program. It is </w:t>
      </w:r>
      <w:r w:rsidRPr="00421077">
        <w:t>a federal and state joint program that combines Medicaid and the Children’s Health Insurance Program, or CHIP, in Massachusetts</w:t>
      </w:r>
      <w:r w:rsidR="006253F0">
        <w:t>.</w:t>
      </w:r>
    </w:p>
  </w:footnote>
  <w:footnote w:id="8">
    <w:p w14:paraId="32445E80" w14:textId="77777777" w:rsidR="00D476C4" w:rsidRDefault="00D476C4">
      <w:pPr>
        <w:pStyle w:val="FootnoteText"/>
      </w:pPr>
      <w:r>
        <w:rPr>
          <w:rStyle w:val="FootnoteReference"/>
        </w:rPr>
        <w:footnoteRef/>
      </w:r>
      <w:r>
        <w:t xml:space="preserve"> </w:t>
      </w:r>
      <w:r w:rsidRPr="00012EEF">
        <w:t xml:space="preserve">Expenditures from standalone dental plans </w:t>
      </w:r>
      <w:r>
        <w:t xml:space="preserve">and vision plans </w:t>
      </w:r>
      <w:r w:rsidRPr="00012EEF">
        <w:t>are not included.</w:t>
      </w:r>
      <w:r>
        <w:t xml:space="preserve"> However, expenditures for certain dental services covered by MassHealth or commercial insurance are included in THCE. </w:t>
      </w:r>
    </w:p>
  </w:footnote>
  <w:footnote w:id="9">
    <w:p w14:paraId="03EA2D12" w14:textId="77777777" w:rsidR="00D476C4" w:rsidRDefault="00D476C4">
      <w:pPr>
        <w:pStyle w:val="FootnoteText"/>
      </w:pPr>
      <w:r w:rsidRPr="00EA2670">
        <w:rPr>
          <w:rStyle w:val="FootnoteReference"/>
        </w:rPr>
        <w:footnoteRef/>
      </w:r>
      <w:r w:rsidRPr="00EA2670">
        <w:t xml:space="preserve"> Medicare data </w:t>
      </w:r>
      <w:r w:rsidR="00EA2670" w:rsidRPr="00EA2670">
        <w:t xml:space="preserve">are </w:t>
      </w:r>
      <w:r w:rsidRPr="00EA2670">
        <w:t xml:space="preserve">the primary data source used to adjust the provider data to a </w:t>
      </w:r>
      <w:r w:rsidR="00EA2670" w:rsidRPr="00EA2670">
        <w:t>state-of-</w:t>
      </w:r>
      <w:r w:rsidRPr="00EA2670">
        <w:t xml:space="preserve">residence basis because </w:t>
      </w:r>
      <w:r w:rsidR="00537617">
        <w:t>Medicare is the only national insurer with publicly available claims data that can be analyzed on both of these dimensions.</w:t>
      </w:r>
    </w:p>
  </w:footnote>
  <w:footnote w:id="10">
    <w:p w14:paraId="49CFB37A" w14:textId="77777777" w:rsidR="00D476C4" w:rsidRDefault="00D476C4" w:rsidP="002B0814">
      <w:pPr>
        <w:pStyle w:val="FootnoteText"/>
      </w:pPr>
      <w:r>
        <w:rPr>
          <w:rStyle w:val="FootnoteReference"/>
        </w:rPr>
        <w:footnoteRef/>
      </w:r>
      <w:r>
        <w:t xml:space="preserve"> </w:t>
      </w:r>
      <w:r w:rsidRPr="008B4306">
        <w:t>SHEA adhere</w:t>
      </w:r>
      <w:r>
        <w:t>s</w:t>
      </w:r>
      <w:r w:rsidRPr="008B4306">
        <w:t xml:space="preserve"> to the same servi</w:t>
      </w:r>
      <w:r>
        <w:t xml:space="preserve">ce and payer definitions as </w:t>
      </w:r>
      <w:r w:rsidRPr="008B4306">
        <w:t>NHEA</w:t>
      </w:r>
      <w:r>
        <w:t xml:space="preserve">. For detailed information on Type of Service, please see </w:t>
      </w:r>
      <w:r w:rsidRPr="008B4306">
        <w:rPr>
          <w:i/>
        </w:rPr>
        <w:t>National Health Expenditures Accounts: Methodology Paper 2012</w:t>
      </w:r>
      <w:r>
        <w:t xml:space="preserve">. Available at: </w:t>
      </w:r>
      <w:hyperlink r:id="rId4" w:history="1">
        <w:r w:rsidRPr="00263546">
          <w:rPr>
            <w:rStyle w:val="Hyperlink"/>
          </w:rPr>
          <w:t>http://www.cms.gov/Research-Statistics-Data-and-Systems/Statistics-Trends-and-Reports/NationalHealthExpendData/Downloads/dsm-12.pdf</w:t>
        </w:r>
      </w:hyperlink>
      <w:r>
        <w:t xml:space="preserve"> (Accessed: September 10, 2014)</w:t>
      </w:r>
    </w:p>
  </w:footnote>
  <w:footnote w:id="11">
    <w:p w14:paraId="4025220B" w14:textId="77777777" w:rsidR="00805E16" w:rsidRPr="007466B4" w:rsidRDefault="00805E16" w:rsidP="00805E16">
      <w:pPr>
        <w:pStyle w:val="FootnoteText"/>
      </w:pPr>
      <w:r w:rsidRPr="007466B4">
        <w:rPr>
          <w:rStyle w:val="FootnoteReference"/>
        </w:rPr>
        <w:footnoteRef/>
      </w:r>
      <w:r w:rsidRPr="007466B4">
        <w:t xml:space="preserve"> This initial assessment of 2013 THCE incorporated up to four months of claims run-out, and included estimates for claims completion and projected financial settlements. On the other hand, the final assessment of 2012 THCE allowed for at least 12 months of claims run-out and included final settlements for financial and quality performance payments. </w:t>
      </w:r>
    </w:p>
  </w:footnote>
  <w:footnote w:id="12">
    <w:p w14:paraId="6B97C7DA" w14:textId="77777777" w:rsidR="00376B0F" w:rsidRDefault="00376B0F">
      <w:pPr>
        <w:pStyle w:val="FootnoteText"/>
      </w:pPr>
      <w:r>
        <w:rPr>
          <w:rStyle w:val="FootnoteReference"/>
        </w:rPr>
        <w:footnoteRef/>
      </w:r>
      <w:r>
        <w:t xml:space="preserve"> </w:t>
      </w:r>
      <w:r>
        <w:rPr>
          <w:szCs w:val="24"/>
        </w:rPr>
        <w:t>Although the most current SHEA is for 2009, the national-level data (i.e. the personal health care expenditure component of NHEA) is available for 2012. Therefore, CHIA is able to use the NHEA trends between 2009 and 2012 to estimate the 2012 SHEA.</w:t>
      </w:r>
    </w:p>
  </w:footnote>
  <w:footnote w:id="13">
    <w:p w14:paraId="38DAD774" w14:textId="77777777" w:rsidR="001E6224" w:rsidRDefault="001E6224">
      <w:pPr>
        <w:pStyle w:val="FootnoteText"/>
      </w:pPr>
      <w:r>
        <w:rPr>
          <w:rStyle w:val="FootnoteReference"/>
        </w:rPr>
        <w:footnoteRef/>
      </w:r>
      <w:r>
        <w:t xml:space="preserve"> </w:t>
      </w:r>
      <w:r w:rsidRPr="001E6224">
        <w:t>In SHEA, patient cost</w:t>
      </w:r>
      <w:r w:rsidR="006253F0">
        <w:t>-</w:t>
      </w:r>
      <w:r w:rsidRPr="001E6224">
        <w:t>sharing amounts are included with other out-of-pocket expenditures that are not covered by health insurance (e.g., over-the-counter medicines). Since THCE includes patient cost</w:t>
      </w:r>
      <w:r w:rsidR="006253F0">
        <w:t>-</w:t>
      </w:r>
      <w:r w:rsidRPr="001E6224">
        <w:t>sharing amounts, it is necessary to remove this element from SHEA’s out-of-pocket expenditure category. CHIA applied the assumption of 87% average actuarial value for commercial insurance in Massachusetts based on CHIA’s 2014 Annual Report to remove the amount equal to 13% of private health expenditures in estimated 2012 SHEA. The remaining dollar amounts in the Out-of-Pocket Payment category</w:t>
      </w:r>
      <w:r w:rsidR="00DE768A">
        <w:t xml:space="preserve"> </w:t>
      </w:r>
      <w:r w:rsidR="0085528A">
        <w:t>contain the expenditures for services and medical goods/equipment not covered by health insurance.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287E"/>
    <w:multiLevelType w:val="hybridMultilevel"/>
    <w:tmpl w:val="FE3A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D6D5B"/>
    <w:multiLevelType w:val="hybridMultilevel"/>
    <w:tmpl w:val="097C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00EED"/>
    <w:multiLevelType w:val="hybridMultilevel"/>
    <w:tmpl w:val="2B70E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5720AF2"/>
    <w:multiLevelType w:val="hybridMultilevel"/>
    <w:tmpl w:val="676C0B28"/>
    <w:lvl w:ilvl="0" w:tplc="6408D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60"/>
    <w:rsid w:val="000025BF"/>
    <w:rsid w:val="0001219A"/>
    <w:rsid w:val="00012EEF"/>
    <w:rsid w:val="00064522"/>
    <w:rsid w:val="00091233"/>
    <w:rsid w:val="000A412D"/>
    <w:rsid w:val="000B6513"/>
    <w:rsid w:val="000E37B7"/>
    <w:rsid w:val="000F05B1"/>
    <w:rsid w:val="000F11F1"/>
    <w:rsid w:val="000F1E40"/>
    <w:rsid w:val="00106350"/>
    <w:rsid w:val="00125FA6"/>
    <w:rsid w:val="00145595"/>
    <w:rsid w:val="00180391"/>
    <w:rsid w:val="00184B81"/>
    <w:rsid w:val="00192444"/>
    <w:rsid w:val="001A632B"/>
    <w:rsid w:val="001C0B3D"/>
    <w:rsid w:val="001C2353"/>
    <w:rsid w:val="001D1AFB"/>
    <w:rsid w:val="001E6224"/>
    <w:rsid w:val="001F2E72"/>
    <w:rsid w:val="001F3986"/>
    <w:rsid w:val="0022084B"/>
    <w:rsid w:val="00231EB6"/>
    <w:rsid w:val="0024265E"/>
    <w:rsid w:val="00267E5D"/>
    <w:rsid w:val="0027376C"/>
    <w:rsid w:val="00277D14"/>
    <w:rsid w:val="002928F0"/>
    <w:rsid w:val="0029393C"/>
    <w:rsid w:val="002957A5"/>
    <w:rsid w:val="002B0814"/>
    <w:rsid w:val="002B5195"/>
    <w:rsid w:val="002B5F16"/>
    <w:rsid w:val="002C5857"/>
    <w:rsid w:val="002D192F"/>
    <w:rsid w:val="002E16F3"/>
    <w:rsid w:val="002F27EC"/>
    <w:rsid w:val="00304D22"/>
    <w:rsid w:val="00316294"/>
    <w:rsid w:val="00317917"/>
    <w:rsid w:val="00326519"/>
    <w:rsid w:val="00334C82"/>
    <w:rsid w:val="00367D29"/>
    <w:rsid w:val="00376B0F"/>
    <w:rsid w:val="003A1A9E"/>
    <w:rsid w:val="003A24DC"/>
    <w:rsid w:val="003C09B6"/>
    <w:rsid w:val="003E6819"/>
    <w:rsid w:val="003F72B2"/>
    <w:rsid w:val="00401E33"/>
    <w:rsid w:val="00405FF2"/>
    <w:rsid w:val="00416652"/>
    <w:rsid w:val="00420CB9"/>
    <w:rsid w:val="00421077"/>
    <w:rsid w:val="00446D51"/>
    <w:rsid w:val="00451D4A"/>
    <w:rsid w:val="0046530B"/>
    <w:rsid w:val="00471E00"/>
    <w:rsid w:val="0048219F"/>
    <w:rsid w:val="004D0534"/>
    <w:rsid w:val="004D3848"/>
    <w:rsid w:val="004F44B9"/>
    <w:rsid w:val="004F7B03"/>
    <w:rsid w:val="00517351"/>
    <w:rsid w:val="0052789B"/>
    <w:rsid w:val="00530EC5"/>
    <w:rsid w:val="00537617"/>
    <w:rsid w:val="00573771"/>
    <w:rsid w:val="00574BC2"/>
    <w:rsid w:val="00594A84"/>
    <w:rsid w:val="005A28DF"/>
    <w:rsid w:val="005C471D"/>
    <w:rsid w:val="005D135E"/>
    <w:rsid w:val="005D27F3"/>
    <w:rsid w:val="005F4D21"/>
    <w:rsid w:val="00622E06"/>
    <w:rsid w:val="006253F0"/>
    <w:rsid w:val="006352DC"/>
    <w:rsid w:val="00662FE8"/>
    <w:rsid w:val="0068092D"/>
    <w:rsid w:val="0068139A"/>
    <w:rsid w:val="006A0CFA"/>
    <w:rsid w:val="006A2272"/>
    <w:rsid w:val="006A5CC8"/>
    <w:rsid w:val="006B09D7"/>
    <w:rsid w:val="006D1787"/>
    <w:rsid w:val="006D56F2"/>
    <w:rsid w:val="006D7EE0"/>
    <w:rsid w:val="006E12C8"/>
    <w:rsid w:val="006E31D6"/>
    <w:rsid w:val="006F07B3"/>
    <w:rsid w:val="00700093"/>
    <w:rsid w:val="00700C90"/>
    <w:rsid w:val="00711992"/>
    <w:rsid w:val="0071752B"/>
    <w:rsid w:val="00730649"/>
    <w:rsid w:val="00736F54"/>
    <w:rsid w:val="00742AE2"/>
    <w:rsid w:val="00745AE1"/>
    <w:rsid w:val="00746375"/>
    <w:rsid w:val="007466B4"/>
    <w:rsid w:val="00750DD9"/>
    <w:rsid w:val="00754B30"/>
    <w:rsid w:val="00761FB0"/>
    <w:rsid w:val="007953E7"/>
    <w:rsid w:val="007C08ED"/>
    <w:rsid w:val="007C4E56"/>
    <w:rsid w:val="007D5EFB"/>
    <w:rsid w:val="007F193F"/>
    <w:rsid w:val="007F7FD5"/>
    <w:rsid w:val="00805E16"/>
    <w:rsid w:val="008235BC"/>
    <w:rsid w:val="00823DF1"/>
    <w:rsid w:val="0082491F"/>
    <w:rsid w:val="008326A8"/>
    <w:rsid w:val="00837DE2"/>
    <w:rsid w:val="00851A03"/>
    <w:rsid w:val="00851D83"/>
    <w:rsid w:val="0085528A"/>
    <w:rsid w:val="00860DB1"/>
    <w:rsid w:val="00865339"/>
    <w:rsid w:val="00881164"/>
    <w:rsid w:val="0088798B"/>
    <w:rsid w:val="008A0A76"/>
    <w:rsid w:val="008A25B3"/>
    <w:rsid w:val="008B4306"/>
    <w:rsid w:val="008C6533"/>
    <w:rsid w:val="008D266C"/>
    <w:rsid w:val="008F1BB9"/>
    <w:rsid w:val="00910BD0"/>
    <w:rsid w:val="0093252B"/>
    <w:rsid w:val="0094141C"/>
    <w:rsid w:val="0095194B"/>
    <w:rsid w:val="0095226C"/>
    <w:rsid w:val="00953983"/>
    <w:rsid w:val="00954E7A"/>
    <w:rsid w:val="00955CE9"/>
    <w:rsid w:val="0096183E"/>
    <w:rsid w:val="00963CBC"/>
    <w:rsid w:val="009641F8"/>
    <w:rsid w:val="00990BF5"/>
    <w:rsid w:val="009A4661"/>
    <w:rsid w:val="009B28B4"/>
    <w:rsid w:val="009B6F26"/>
    <w:rsid w:val="009C1414"/>
    <w:rsid w:val="009C42E9"/>
    <w:rsid w:val="009D28AD"/>
    <w:rsid w:val="009D58F3"/>
    <w:rsid w:val="009F59F1"/>
    <w:rsid w:val="00A14F1B"/>
    <w:rsid w:val="00A21FFB"/>
    <w:rsid w:val="00A22843"/>
    <w:rsid w:val="00A30975"/>
    <w:rsid w:val="00A3151E"/>
    <w:rsid w:val="00A40A65"/>
    <w:rsid w:val="00A454D8"/>
    <w:rsid w:val="00A502D3"/>
    <w:rsid w:val="00A557F0"/>
    <w:rsid w:val="00A7449D"/>
    <w:rsid w:val="00A770E5"/>
    <w:rsid w:val="00A77A0A"/>
    <w:rsid w:val="00A93930"/>
    <w:rsid w:val="00AA6562"/>
    <w:rsid w:val="00AA72A5"/>
    <w:rsid w:val="00AB03F2"/>
    <w:rsid w:val="00AB1125"/>
    <w:rsid w:val="00AC67D5"/>
    <w:rsid w:val="00AD16EC"/>
    <w:rsid w:val="00AE6A29"/>
    <w:rsid w:val="00AF337C"/>
    <w:rsid w:val="00AF5FAF"/>
    <w:rsid w:val="00B00844"/>
    <w:rsid w:val="00B11584"/>
    <w:rsid w:val="00B6368F"/>
    <w:rsid w:val="00B66681"/>
    <w:rsid w:val="00B96A80"/>
    <w:rsid w:val="00BA4B55"/>
    <w:rsid w:val="00BB3155"/>
    <w:rsid w:val="00BC2B92"/>
    <w:rsid w:val="00BC541C"/>
    <w:rsid w:val="00BD6167"/>
    <w:rsid w:val="00BD765A"/>
    <w:rsid w:val="00BE1619"/>
    <w:rsid w:val="00BE59C9"/>
    <w:rsid w:val="00C20FE8"/>
    <w:rsid w:val="00C42017"/>
    <w:rsid w:val="00C45AF3"/>
    <w:rsid w:val="00C96620"/>
    <w:rsid w:val="00CA6EF5"/>
    <w:rsid w:val="00CB0292"/>
    <w:rsid w:val="00CB6F47"/>
    <w:rsid w:val="00CD51CA"/>
    <w:rsid w:val="00D147A5"/>
    <w:rsid w:val="00D21003"/>
    <w:rsid w:val="00D27346"/>
    <w:rsid w:val="00D476C4"/>
    <w:rsid w:val="00D61192"/>
    <w:rsid w:val="00D67C31"/>
    <w:rsid w:val="00D71A7B"/>
    <w:rsid w:val="00D930B9"/>
    <w:rsid w:val="00D97048"/>
    <w:rsid w:val="00DB6404"/>
    <w:rsid w:val="00DC11A1"/>
    <w:rsid w:val="00DD65E5"/>
    <w:rsid w:val="00DE6F47"/>
    <w:rsid w:val="00DE768A"/>
    <w:rsid w:val="00DF29F3"/>
    <w:rsid w:val="00DF3C91"/>
    <w:rsid w:val="00E066D1"/>
    <w:rsid w:val="00E06BEE"/>
    <w:rsid w:val="00E11A93"/>
    <w:rsid w:val="00E140E5"/>
    <w:rsid w:val="00E20C6A"/>
    <w:rsid w:val="00E21489"/>
    <w:rsid w:val="00E2547C"/>
    <w:rsid w:val="00E32D7F"/>
    <w:rsid w:val="00E43AD0"/>
    <w:rsid w:val="00E535D0"/>
    <w:rsid w:val="00E644E0"/>
    <w:rsid w:val="00E716DC"/>
    <w:rsid w:val="00E71E5E"/>
    <w:rsid w:val="00E80E93"/>
    <w:rsid w:val="00E82F61"/>
    <w:rsid w:val="00E97E60"/>
    <w:rsid w:val="00EA2670"/>
    <w:rsid w:val="00ED50F6"/>
    <w:rsid w:val="00ED7096"/>
    <w:rsid w:val="00EF1E1C"/>
    <w:rsid w:val="00EF5A0F"/>
    <w:rsid w:val="00F05710"/>
    <w:rsid w:val="00F07256"/>
    <w:rsid w:val="00F14489"/>
    <w:rsid w:val="00F323D1"/>
    <w:rsid w:val="00F55C2C"/>
    <w:rsid w:val="00F63939"/>
    <w:rsid w:val="00F64801"/>
    <w:rsid w:val="00F72E08"/>
    <w:rsid w:val="00FA0472"/>
    <w:rsid w:val="00FA3E99"/>
    <w:rsid w:val="00FA40DF"/>
    <w:rsid w:val="00FC054B"/>
    <w:rsid w:val="00FE1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5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1A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9E"/>
    <w:rPr>
      <w:sz w:val="20"/>
      <w:szCs w:val="20"/>
    </w:rPr>
  </w:style>
  <w:style w:type="character" w:styleId="FootnoteReference">
    <w:name w:val="footnote reference"/>
    <w:basedOn w:val="DefaultParagraphFont"/>
    <w:uiPriority w:val="99"/>
    <w:semiHidden/>
    <w:unhideWhenUsed/>
    <w:rsid w:val="003A1A9E"/>
    <w:rPr>
      <w:vertAlign w:val="superscript"/>
    </w:rPr>
  </w:style>
  <w:style w:type="character" w:styleId="Hyperlink">
    <w:name w:val="Hyperlink"/>
    <w:basedOn w:val="DefaultParagraphFont"/>
    <w:uiPriority w:val="99"/>
    <w:unhideWhenUsed/>
    <w:rsid w:val="003A1A9E"/>
    <w:rPr>
      <w:color w:val="0000FF" w:themeColor="hyperlink"/>
      <w:u w:val="single"/>
    </w:rPr>
  </w:style>
  <w:style w:type="character" w:styleId="FollowedHyperlink">
    <w:name w:val="FollowedHyperlink"/>
    <w:basedOn w:val="DefaultParagraphFont"/>
    <w:uiPriority w:val="99"/>
    <w:semiHidden/>
    <w:unhideWhenUsed/>
    <w:rsid w:val="003A1A9E"/>
    <w:rPr>
      <w:color w:val="800080" w:themeColor="followedHyperlink"/>
      <w:u w:val="single"/>
    </w:rPr>
  </w:style>
  <w:style w:type="table" w:styleId="LightShading-Accent1">
    <w:name w:val="Light Shading Accent 1"/>
    <w:basedOn w:val="TableNormal"/>
    <w:uiPriority w:val="60"/>
    <w:rsid w:val="00CD51C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D51C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next w:val="LightGrid-Accent1"/>
    <w:uiPriority w:val="62"/>
    <w:rsid w:val="0096183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955CE9"/>
    <w:pPr>
      <w:ind w:left="720"/>
      <w:contextualSpacing/>
    </w:pPr>
  </w:style>
  <w:style w:type="table" w:styleId="LightList-Accent1">
    <w:name w:val="Light List Accent 1"/>
    <w:basedOn w:val="TableNormal"/>
    <w:uiPriority w:val="61"/>
    <w:rsid w:val="00304D2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04D2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9C1414"/>
    <w:rPr>
      <w:sz w:val="16"/>
      <w:szCs w:val="16"/>
    </w:rPr>
  </w:style>
  <w:style w:type="paragraph" w:styleId="CommentText">
    <w:name w:val="annotation text"/>
    <w:basedOn w:val="Normal"/>
    <w:link w:val="CommentTextChar"/>
    <w:uiPriority w:val="99"/>
    <w:unhideWhenUsed/>
    <w:rsid w:val="009C1414"/>
    <w:pPr>
      <w:spacing w:line="240" w:lineRule="auto"/>
    </w:pPr>
    <w:rPr>
      <w:sz w:val="20"/>
      <w:szCs w:val="20"/>
    </w:rPr>
  </w:style>
  <w:style w:type="character" w:customStyle="1" w:styleId="CommentTextChar">
    <w:name w:val="Comment Text Char"/>
    <w:basedOn w:val="DefaultParagraphFont"/>
    <w:link w:val="CommentText"/>
    <w:uiPriority w:val="99"/>
    <w:rsid w:val="009C1414"/>
    <w:rPr>
      <w:sz w:val="20"/>
      <w:szCs w:val="20"/>
    </w:rPr>
  </w:style>
  <w:style w:type="paragraph" w:styleId="CommentSubject">
    <w:name w:val="annotation subject"/>
    <w:basedOn w:val="CommentText"/>
    <w:next w:val="CommentText"/>
    <w:link w:val="CommentSubjectChar"/>
    <w:uiPriority w:val="99"/>
    <w:semiHidden/>
    <w:unhideWhenUsed/>
    <w:rsid w:val="009C1414"/>
    <w:rPr>
      <w:b/>
      <w:bCs/>
    </w:rPr>
  </w:style>
  <w:style w:type="character" w:customStyle="1" w:styleId="CommentSubjectChar">
    <w:name w:val="Comment Subject Char"/>
    <w:basedOn w:val="CommentTextChar"/>
    <w:link w:val="CommentSubject"/>
    <w:uiPriority w:val="99"/>
    <w:semiHidden/>
    <w:rsid w:val="009C1414"/>
    <w:rPr>
      <w:b/>
      <w:bCs/>
      <w:sz w:val="20"/>
      <w:szCs w:val="20"/>
    </w:rPr>
  </w:style>
  <w:style w:type="paragraph" w:styleId="BalloonText">
    <w:name w:val="Balloon Text"/>
    <w:basedOn w:val="Normal"/>
    <w:link w:val="BalloonTextChar"/>
    <w:uiPriority w:val="99"/>
    <w:semiHidden/>
    <w:unhideWhenUsed/>
    <w:rsid w:val="009C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414"/>
    <w:rPr>
      <w:rFonts w:ascii="Tahoma" w:hAnsi="Tahoma" w:cs="Tahoma"/>
      <w:sz w:val="16"/>
      <w:szCs w:val="16"/>
    </w:rPr>
  </w:style>
  <w:style w:type="paragraph" w:styleId="Header">
    <w:name w:val="header"/>
    <w:basedOn w:val="Normal"/>
    <w:link w:val="HeaderChar"/>
    <w:uiPriority w:val="99"/>
    <w:unhideWhenUsed/>
    <w:rsid w:val="00DD6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5E5"/>
  </w:style>
  <w:style w:type="paragraph" w:styleId="Footer">
    <w:name w:val="footer"/>
    <w:basedOn w:val="Normal"/>
    <w:link w:val="FooterChar"/>
    <w:uiPriority w:val="99"/>
    <w:unhideWhenUsed/>
    <w:rsid w:val="00DD6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5E5"/>
  </w:style>
  <w:style w:type="paragraph" w:styleId="Revision">
    <w:name w:val="Revision"/>
    <w:hidden/>
    <w:uiPriority w:val="99"/>
    <w:semiHidden/>
    <w:rsid w:val="00823DF1"/>
    <w:pPr>
      <w:spacing w:after="0" w:line="240" w:lineRule="auto"/>
    </w:pPr>
  </w:style>
  <w:style w:type="paragraph" w:styleId="EndnoteText">
    <w:name w:val="endnote text"/>
    <w:basedOn w:val="Normal"/>
    <w:link w:val="EndnoteTextChar"/>
    <w:uiPriority w:val="99"/>
    <w:semiHidden/>
    <w:unhideWhenUsed/>
    <w:rsid w:val="00750D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0DD9"/>
    <w:rPr>
      <w:sz w:val="20"/>
      <w:szCs w:val="20"/>
    </w:rPr>
  </w:style>
  <w:style w:type="character" w:styleId="EndnoteReference">
    <w:name w:val="endnote reference"/>
    <w:basedOn w:val="DefaultParagraphFont"/>
    <w:uiPriority w:val="99"/>
    <w:semiHidden/>
    <w:unhideWhenUsed/>
    <w:rsid w:val="00750DD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1A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9E"/>
    <w:rPr>
      <w:sz w:val="20"/>
      <w:szCs w:val="20"/>
    </w:rPr>
  </w:style>
  <w:style w:type="character" w:styleId="FootnoteReference">
    <w:name w:val="footnote reference"/>
    <w:basedOn w:val="DefaultParagraphFont"/>
    <w:uiPriority w:val="99"/>
    <w:semiHidden/>
    <w:unhideWhenUsed/>
    <w:rsid w:val="003A1A9E"/>
    <w:rPr>
      <w:vertAlign w:val="superscript"/>
    </w:rPr>
  </w:style>
  <w:style w:type="character" w:styleId="Hyperlink">
    <w:name w:val="Hyperlink"/>
    <w:basedOn w:val="DefaultParagraphFont"/>
    <w:uiPriority w:val="99"/>
    <w:unhideWhenUsed/>
    <w:rsid w:val="003A1A9E"/>
    <w:rPr>
      <w:color w:val="0000FF" w:themeColor="hyperlink"/>
      <w:u w:val="single"/>
    </w:rPr>
  </w:style>
  <w:style w:type="character" w:styleId="FollowedHyperlink">
    <w:name w:val="FollowedHyperlink"/>
    <w:basedOn w:val="DefaultParagraphFont"/>
    <w:uiPriority w:val="99"/>
    <w:semiHidden/>
    <w:unhideWhenUsed/>
    <w:rsid w:val="003A1A9E"/>
    <w:rPr>
      <w:color w:val="800080" w:themeColor="followedHyperlink"/>
      <w:u w:val="single"/>
    </w:rPr>
  </w:style>
  <w:style w:type="table" w:styleId="LightShading-Accent1">
    <w:name w:val="Light Shading Accent 1"/>
    <w:basedOn w:val="TableNormal"/>
    <w:uiPriority w:val="60"/>
    <w:rsid w:val="00CD51C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D51C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next w:val="LightGrid-Accent1"/>
    <w:uiPriority w:val="62"/>
    <w:rsid w:val="0096183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955CE9"/>
    <w:pPr>
      <w:ind w:left="720"/>
      <w:contextualSpacing/>
    </w:pPr>
  </w:style>
  <w:style w:type="table" w:styleId="LightList-Accent1">
    <w:name w:val="Light List Accent 1"/>
    <w:basedOn w:val="TableNormal"/>
    <w:uiPriority w:val="61"/>
    <w:rsid w:val="00304D2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04D2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9C1414"/>
    <w:rPr>
      <w:sz w:val="16"/>
      <w:szCs w:val="16"/>
    </w:rPr>
  </w:style>
  <w:style w:type="paragraph" w:styleId="CommentText">
    <w:name w:val="annotation text"/>
    <w:basedOn w:val="Normal"/>
    <w:link w:val="CommentTextChar"/>
    <w:uiPriority w:val="99"/>
    <w:unhideWhenUsed/>
    <w:rsid w:val="009C1414"/>
    <w:pPr>
      <w:spacing w:line="240" w:lineRule="auto"/>
    </w:pPr>
    <w:rPr>
      <w:sz w:val="20"/>
      <w:szCs w:val="20"/>
    </w:rPr>
  </w:style>
  <w:style w:type="character" w:customStyle="1" w:styleId="CommentTextChar">
    <w:name w:val="Comment Text Char"/>
    <w:basedOn w:val="DefaultParagraphFont"/>
    <w:link w:val="CommentText"/>
    <w:uiPriority w:val="99"/>
    <w:rsid w:val="009C1414"/>
    <w:rPr>
      <w:sz w:val="20"/>
      <w:szCs w:val="20"/>
    </w:rPr>
  </w:style>
  <w:style w:type="paragraph" w:styleId="CommentSubject">
    <w:name w:val="annotation subject"/>
    <w:basedOn w:val="CommentText"/>
    <w:next w:val="CommentText"/>
    <w:link w:val="CommentSubjectChar"/>
    <w:uiPriority w:val="99"/>
    <w:semiHidden/>
    <w:unhideWhenUsed/>
    <w:rsid w:val="009C1414"/>
    <w:rPr>
      <w:b/>
      <w:bCs/>
    </w:rPr>
  </w:style>
  <w:style w:type="character" w:customStyle="1" w:styleId="CommentSubjectChar">
    <w:name w:val="Comment Subject Char"/>
    <w:basedOn w:val="CommentTextChar"/>
    <w:link w:val="CommentSubject"/>
    <w:uiPriority w:val="99"/>
    <w:semiHidden/>
    <w:rsid w:val="009C1414"/>
    <w:rPr>
      <w:b/>
      <w:bCs/>
      <w:sz w:val="20"/>
      <w:szCs w:val="20"/>
    </w:rPr>
  </w:style>
  <w:style w:type="paragraph" w:styleId="BalloonText">
    <w:name w:val="Balloon Text"/>
    <w:basedOn w:val="Normal"/>
    <w:link w:val="BalloonTextChar"/>
    <w:uiPriority w:val="99"/>
    <w:semiHidden/>
    <w:unhideWhenUsed/>
    <w:rsid w:val="009C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414"/>
    <w:rPr>
      <w:rFonts w:ascii="Tahoma" w:hAnsi="Tahoma" w:cs="Tahoma"/>
      <w:sz w:val="16"/>
      <w:szCs w:val="16"/>
    </w:rPr>
  </w:style>
  <w:style w:type="paragraph" w:styleId="Header">
    <w:name w:val="header"/>
    <w:basedOn w:val="Normal"/>
    <w:link w:val="HeaderChar"/>
    <w:uiPriority w:val="99"/>
    <w:unhideWhenUsed/>
    <w:rsid w:val="00DD6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5E5"/>
  </w:style>
  <w:style w:type="paragraph" w:styleId="Footer">
    <w:name w:val="footer"/>
    <w:basedOn w:val="Normal"/>
    <w:link w:val="FooterChar"/>
    <w:uiPriority w:val="99"/>
    <w:unhideWhenUsed/>
    <w:rsid w:val="00DD6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5E5"/>
  </w:style>
  <w:style w:type="paragraph" w:styleId="Revision">
    <w:name w:val="Revision"/>
    <w:hidden/>
    <w:uiPriority w:val="99"/>
    <w:semiHidden/>
    <w:rsid w:val="00823DF1"/>
    <w:pPr>
      <w:spacing w:after="0" w:line="240" w:lineRule="auto"/>
    </w:pPr>
  </w:style>
  <w:style w:type="paragraph" w:styleId="EndnoteText">
    <w:name w:val="endnote text"/>
    <w:basedOn w:val="Normal"/>
    <w:link w:val="EndnoteTextChar"/>
    <w:uiPriority w:val="99"/>
    <w:semiHidden/>
    <w:unhideWhenUsed/>
    <w:rsid w:val="00750D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0DD9"/>
    <w:rPr>
      <w:sz w:val="20"/>
      <w:szCs w:val="20"/>
    </w:rPr>
  </w:style>
  <w:style w:type="character" w:styleId="EndnoteReference">
    <w:name w:val="endnote reference"/>
    <w:basedOn w:val="DefaultParagraphFont"/>
    <w:uiPriority w:val="99"/>
    <w:semiHidden/>
    <w:unhideWhenUsed/>
    <w:rsid w:val="00750D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7970">
      <w:bodyDiv w:val="1"/>
      <w:marLeft w:val="0"/>
      <w:marRight w:val="0"/>
      <w:marTop w:val="0"/>
      <w:marBottom w:val="0"/>
      <w:divBdr>
        <w:top w:val="none" w:sz="0" w:space="0" w:color="auto"/>
        <w:left w:val="none" w:sz="0" w:space="0" w:color="auto"/>
        <w:bottom w:val="none" w:sz="0" w:space="0" w:color="auto"/>
        <w:right w:val="none" w:sz="0" w:space="0" w:color="auto"/>
      </w:divBdr>
    </w:div>
    <w:div w:id="1161585201">
      <w:bodyDiv w:val="1"/>
      <w:marLeft w:val="0"/>
      <w:marRight w:val="0"/>
      <w:marTop w:val="0"/>
      <w:marBottom w:val="0"/>
      <w:divBdr>
        <w:top w:val="none" w:sz="0" w:space="0" w:color="auto"/>
        <w:left w:val="none" w:sz="0" w:space="0" w:color="auto"/>
        <w:bottom w:val="none" w:sz="0" w:space="0" w:color="auto"/>
        <w:right w:val="none" w:sz="0" w:space="0" w:color="auto"/>
      </w:divBdr>
    </w:div>
    <w:div w:id="16199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emf"/>
</Relationships>

</file>

<file path=word/_rels/footnotes.xml.rels><?xml version="1.0" encoding="UTF-8"?>

<Relationships xmlns="http://schemas.openxmlformats.org/package/2006/relationships">
  <Relationship Id="rId1" Type="http://schemas.openxmlformats.org/officeDocument/2006/relationships/hyperlink" TargetMode="External" Target="http://www.mass.gov/chia/docs/r/pubs/13/thce-methodology.pdf"/>
  <Relationship Id="rId2" Type="http://schemas.openxmlformats.org/officeDocument/2006/relationships/hyperlink" TargetMode="External" Target="http://www.cms.gov/Research-Statistics-Data-and-Systems/Statistics-Trends-and-Reports/NationalHealthExpendData/Downloads/res-methodology.pdf"/>
  <Relationship Id="rId3" Type="http://schemas.openxmlformats.org/officeDocument/2006/relationships/hyperlink" TargetMode="External" Target="http://www.cms.gov/Research-Statistics-Data-and-Systems/Statistics-Trends-and-Reports/NationalHealthExpendData/Downloads/dsm-12.pdf"/>
  <Relationship Id="rId4" Type="http://schemas.openxmlformats.org/officeDocument/2006/relationships/hyperlink" TargetMode="External" Target="http://www.cms.gov/Research-Statistics-Data-and-Systems/Statistics-Trends-and-Reports/NationalHealthExpendData/Downloads/dsm-12.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D0AF-9ADF-F248-B79A-C7D302EB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3033</Words>
  <Characters>17290</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2014-10-10T16:45:00Z</dcterms:created>
  <dc:creator>Alex Lai</dc:creator>
  <lastModifiedBy>Division of Health Care Finance and Policy</lastModifiedBy>
  <lastPrinted>2014-10-02T12:51:00Z</lastPrinted>
  <dcterms:modified xsi:type="dcterms:W3CDTF">2014-10-10T16:54:00Z</dcterms:modified>
  <revision>4</revision>
</coreProperties>
</file>