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48C34" w14:textId="77777777" w:rsidR="002F2901" w:rsidRDefault="002F2901" w:rsidP="006E2DCF">
      <w:pPr>
        <w:jc w:val="center"/>
        <w:rPr>
          <w:b/>
          <w:sz w:val="36"/>
          <w:szCs w:val="36"/>
        </w:rPr>
      </w:pPr>
      <w:r>
        <w:rPr>
          <w:b/>
          <w:sz w:val="36"/>
          <w:szCs w:val="36"/>
        </w:rPr>
        <w:t>Center for Health Information and Analysis</w:t>
      </w:r>
    </w:p>
    <w:p w14:paraId="665370D8" w14:textId="77777777" w:rsidR="009A3857" w:rsidRPr="0062406E" w:rsidRDefault="007A79D6" w:rsidP="006E2DCF">
      <w:pPr>
        <w:jc w:val="center"/>
        <w:rPr>
          <w:b/>
          <w:sz w:val="36"/>
          <w:szCs w:val="36"/>
        </w:rPr>
      </w:pPr>
      <w:r w:rsidRPr="0062406E">
        <w:rPr>
          <w:b/>
          <w:sz w:val="36"/>
          <w:szCs w:val="36"/>
        </w:rPr>
        <w:t>Report on Bundled Payments, Volume 2</w:t>
      </w:r>
    </w:p>
    <w:p w14:paraId="2A1CF306" w14:textId="77777777" w:rsidR="00331574" w:rsidRPr="0062406E" w:rsidRDefault="00331574" w:rsidP="006E2DCF">
      <w:pPr>
        <w:spacing w:before="240" w:after="0"/>
        <w:jc w:val="both"/>
        <w:rPr>
          <w:rFonts w:eastAsia="Times New Roman"/>
          <w:b/>
          <w:sz w:val="32"/>
          <w:szCs w:val="32"/>
        </w:rPr>
      </w:pPr>
    </w:p>
    <w:p w14:paraId="33A3FDE1" w14:textId="77777777" w:rsidR="00331574" w:rsidRPr="0062406E" w:rsidRDefault="004F0190" w:rsidP="0014771C">
      <w:pPr>
        <w:spacing w:before="240" w:after="0"/>
        <w:jc w:val="center"/>
        <w:rPr>
          <w:rFonts w:eastAsia="Times New Roman"/>
          <w:b/>
          <w:sz w:val="32"/>
          <w:szCs w:val="32"/>
        </w:rPr>
      </w:pPr>
      <w:r>
        <w:rPr>
          <w:rFonts w:eastAsia="Times New Roman"/>
          <w:b/>
          <w:sz w:val="32"/>
          <w:szCs w:val="32"/>
        </w:rPr>
        <w:t>August</w:t>
      </w:r>
      <w:r w:rsidR="00F456E1">
        <w:rPr>
          <w:rFonts w:eastAsia="Times New Roman"/>
          <w:b/>
          <w:sz w:val="32"/>
          <w:szCs w:val="32"/>
        </w:rPr>
        <w:t xml:space="preserve"> </w:t>
      </w:r>
      <w:r w:rsidR="00056C14">
        <w:rPr>
          <w:rFonts w:eastAsia="Times New Roman"/>
          <w:b/>
          <w:sz w:val="32"/>
          <w:szCs w:val="32"/>
        </w:rPr>
        <w:t>2013</w:t>
      </w:r>
    </w:p>
    <w:p w14:paraId="354F6C44" w14:textId="77777777" w:rsidR="00B05141" w:rsidRPr="0062406E" w:rsidRDefault="00B05141" w:rsidP="006E2DCF">
      <w:pPr>
        <w:spacing w:before="240" w:after="0"/>
        <w:jc w:val="both"/>
        <w:rPr>
          <w:rFonts w:eastAsia="Times New Roman"/>
          <w:b/>
          <w:sz w:val="32"/>
          <w:szCs w:val="32"/>
        </w:rPr>
      </w:pPr>
    </w:p>
    <w:p w14:paraId="42F94A24" w14:textId="77777777" w:rsidR="00331574" w:rsidRPr="0062406E" w:rsidRDefault="00331574" w:rsidP="006E2DCF">
      <w:pPr>
        <w:spacing w:before="240" w:after="0"/>
        <w:jc w:val="both"/>
        <w:rPr>
          <w:rFonts w:eastAsia="Times New Roman"/>
          <w:b/>
          <w:sz w:val="32"/>
          <w:szCs w:val="32"/>
        </w:rPr>
      </w:pPr>
      <w:r w:rsidRPr="0062406E">
        <w:rPr>
          <w:rFonts w:eastAsia="Times New Roman"/>
          <w:b/>
          <w:sz w:val="32"/>
          <w:szCs w:val="32"/>
        </w:rPr>
        <w:t>Table of Contents</w:t>
      </w:r>
    </w:p>
    <w:p w14:paraId="709E0DF5" w14:textId="77777777" w:rsidR="00331574" w:rsidRPr="0062406E" w:rsidRDefault="00331574" w:rsidP="006E2DCF">
      <w:pPr>
        <w:spacing w:before="240" w:after="0"/>
        <w:jc w:val="both"/>
        <w:rPr>
          <w:rFonts w:eastAsia="Times New Roman"/>
          <w:b/>
          <w:sz w:val="28"/>
          <w:szCs w:val="28"/>
        </w:rPr>
      </w:pPr>
    </w:p>
    <w:p w14:paraId="7A8A69C2" w14:textId="77777777" w:rsidR="00E6448E" w:rsidRPr="0062406E" w:rsidRDefault="00E6448E" w:rsidP="00B95EA5">
      <w:pPr>
        <w:spacing w:before="240" w:after="240"/>
        <w:ind w:firstLine="360"/>
        <w:jc w:val="both"/>
        <w:rPr>
          <w:b/>
          <w:sz w:val="28"/>
          <w:szCs w:val="28"/>
        </w:rPr>
      </w:pPr>
      <w:r w:rsidRPr="0062406E">
        <w:rPr>
          <w:b/>
          <w:sz w:val="28"/>
          <w:szCs w:val="28"/>
        </w:rPr>
        <w:t>Executive Summary</w:t>
      </w:r>
    </w:p>
    <w:p w14:paraId="2B083E20" w14:textId="77777777" w:rsidR="003C14E9" w:rsidRPr="0062406E" w:rsidRDefault="00E6448E" w:rsidP="00B95EA5">
      <w:pPr>
        <w:pStyle w:val="ListParagraph"/>
        <w:numPr>
          <w:ilvl w:val="0"/>
          <w:numId w:val="19"/>
        </w:numPr>
        <w:spacing w:before="240" w:after="240" w:line="276" w:lineRule="auto"/>
        <w:jc w:val="both"/>
        <w:rPr>
          <w:rFonts w:asciiTheme="minorHAnsi" w:hAnsiTheme="minorHAnsi"/>
          <w:b/>
          <w:sz w:val="28"/>
          <w:szCs w:val="28"/>
        </w:rPr>
      </w:pPr>
      <w:r w:rsidRPr="0062406E">
        <w:rPr>
          <w:rFonts w:asciiTheme="minorHAnsi" w:hAnsiTheme="minorHAnsi"/>
          <w:b/>
          <w:sz w:val="28"/>
          <w:szCs w:val="28"/>
        </w:rPr>
        <w:t>Introduction</w:t>
      </w:r>
    </w:p>
    <w:p w14:paraId="764414D5" w14:textId="77777777" w:rsidR="003C14E9" w:rsidRPr="0062406E" w:rsidRDefault="003C14E9" w:rsidP="00B95EA5">
      <w:pPr>
        <w:pStyle w:val="ListParagraph"/>
        <w:spacing w:before="240" w:after="240" w:line="276" w:lineRule="auto"/>
        <w:jc w:val="both"/>
        <w:rPr>
          <w:rFonts w:asciiTheme="minorHAnsi" w:hAnsiTheme="minorHAnsi"/>
          <w:b/>
          <w:sz w:val="28"/>
          <w:szCs w:val="28"/>
        </w:rPr>
      </w:pPr>
    </w:p>
    <w:p w14:paraId="2CE02CF6" w14:textId="77777777" w:rsidR="003C14E9" w:rsidRPr="0062406E" w:rsidRDefault="002F2901" w:rsidP="00B95EA5">
      <w:pPr>
        <w:pStyle w:val="ListParagraph"/>
        <w:numPr>
          <w:ilvl w:val="0"/>
          <w:numId w:val="19"/>
        </w:numPr>
        <w:spacing w:before="240" w:after="240" w:line="276" w:lineRule="auto"/>
        <w:jc w:val="both"/>
        <w:rPr>
          <w:rFonts w:asciiTheme="minorHAnsi" w:hAnsiTheme="minorHAnsi"/>
          <w:b/>
          <w:sz w:val="28"/>
          <w:szCs w:val="28"/>
        </w:rPr>
      </w:pPr>
      <w:r>
        <w:rPr>
          <w:rFonts w:asciiTheme="minorHAnsi" w:hAnsiTheme="minorHAnsi"/>
          <w:b/>
          <w:sz w:val="28"/>
          <w:szCs w:val="28"/>
        </w:rPr>
        <w:t xml:space="preserve">The </w:t>
      </w:r>
      <w:r w:rsidR="00E6448E" w:rsidRPr="0062406E">
        <w:rPr>
          <w:rFonts w:asciiTheme="minorHAnsi" w:hAnsiTheme="minorHAnsi"/>
          <w:b/>
          <w:sz w:val="28"/>
          <w:szCs w:val="28"/>
        </w:rPr>
        <w:t>Prometheus Payment Model</w:t>
      </w:r>
    </w:p>
    <w:p w14:paraId="2F299D54" w14:textId="77777777" w:rsidR="00683564" w:rsidRPr="0062406E" w:rsidRDefault="00683564" w:rsidP="00B95EA5">
      <w:pPr>
        <w:pStyle w:val="ListParagraph"/>
        <w:rPr>
          <w:rFonts w:asciiTheme="minorHAnsi" w:hAnsiTheme="minorHAnsi"/>
          <w:b/>
          <w:sz w:val="28"/>
          <w:szCs w:val="28"/>
        </w:rPr>
      </w:pPr>
    </w:p>
    <w:p w14:paraId="6A856FB0" w14:textId="77777777" w:rsidR="00264B58" w:rsidRDefault="00264B58" w:rsidP="00B95EA5">
      <w:pPr>
        <w:pStyle w:val="ListParagraph"/>
        <w:numPr>
          <w:ilvl w:val="0"/>
          <w:numId w:val="19"/>
        </w:numPr>
        <w:spacing w:before="240" w:after="240" w:line="276" w:lineRule="auto"/>
        <w:jc w:val="both"/>
        <w:rPr>
          <w:rFonts w:asciiTheme="minorHAnsi" w:hAnsiTheme="minorHAnsi"/>
          <w:b/>
          <w:sz w:val="28"/>
          <w:szCs w:val="28"/>
        </w:rPr>
      </w:pPr>
      <w:r>
        <w:rPr>
          <w:rFonts w:asciiTheme="minorHAnsi" w:hAnsiTheme="minorHAnsi"/>
          <w:b/>
          <w:sz w:val="28"/>
          <w:szCs w:val="28"/>
        </w:rPr>
        <w:t>Methods</w:t>
      </w:r>
    </w:p>
    <w:p w14:paraId="1C1A9A6A" w14:textId="77777777" w:rsidR="00264B58" w:rsidRPr="005F6532" w:rsidRDefault="00264B58" w:rsidP="00B95EA5">
      <w:pPr>
        <w:pStyle w:val="ListParagraph"/>
        <w:rPr>
          <w:rFonts w:asciiTheme="minorHAnsi" w:hAnsiTheme="minorHAnsi"/>
          <w:b/>
          <w:sz w:val="28"/>
          <w:szCs w:val="28"/>
        </w:rPr>
      </w:pPr>
    </w:p>
    <w:p w14:paraId="43A2A86D" w14:textId="77777777" w:rsidR="003C14E9" w:rsidRPr="0062406E" w:rsidRDefault="003C14E9" w:rsidP="00B95EA5">
      <w:pPr>
        <w:pStyle w:val="ListParagraph"/>
        <w:numPr>
          <w:ilvl w:val="0"/>
          <w:numId w:val="19"/>
        </w:numPr>
        <w:spacing w:before="240" w:after="240" w:line="276" w:lineRule="auto"/>
        <w:jc w:val="both"/>
        <w:rPr>
          <w:rFonts w:asciiTheme="minorHAnsi" w:hAnsiTheme="minorHAnsi"/>
          <w:b/>
          <w:sz w:val="28"/>
          <w:szCs w:val="28"/>
        </w:rPr>
      </w:pPr>
      <w:r w:rsidRPr="0062406E">
        <w:rPr>
          <w:rFonts w:asciiTheme="minorHAnsi" w:hAnsiTheme="minorHAnsi"/>
          <w:b/>
          <w:sz w:val="28"/>
          <w:szCs w:val="28"/>
        </w:rPr>
        <w:t>Results</w:t>
      </w:r>
    </w:p>
    <w:p w14:paraId="52244838" w14:textId="77777777" w:rsidR="003C14E9" w:rsidRPr="0062406E" w:rsidRDefault="003C14E9" w:rsidP="00B95EA5">
      <w:pPr>
        <w:pStyle w:val="ListParagraph"/>
        <w:rPr>
          <w:rFonts w:asciiTheme="minorHAnsi" w:hAnsiTheme="minorHAnsi"/>
          <w:b/>
          <w:sz w:val="28"/>
          <w:szCs w:val="28"/>
        </w:rPr>
      </w:pPr>
    </w:p>
    <w:p w14:paraId="54F37864" w14:textId="77777777" w:rsidR="0018543A" w:rsidRDefault="0018543A" w:rsidP="00B95EA5">
      <w:pPr>
        <w:pStyle w:val="ListParagraph"/>
        <w:numPr>
          <w:ilvl w:val="0"/>
          <w:numId w:val="19"/>
        </w:numPr>
        <w:spacing w:before="240" w:after="240" w:line="276" w:lineRule="auto"/>
        <w:jc w:val="both"/>
        <w:rPr>
          <w:rFonts w:asciiTheme="minorHAnsi" w:hAnsiTheme="minorHAnsi"/>
          <w:b/>
          <w:sz w:val="28"/>
          <w:szCs w:val="28"/>
        </w:rPr>
      </w:pPr>
      <w:r>
        <w:rPr>
          <w:rFonts w:asciiTheme="minorHAnsi" w:hAnsiTheme="minorHAnsi"/>
          <w:b/>
          <w:sz w:val="28"/>
          <w:szCs w:val="28"/>
        </w:rPr>
        <w:t xml:space="preserve">Data </w:t>
      </w:r>
      <w:r w:rsidR="00632E09">
        <w:rPr>
          <w:rFonts w:asciiTheme="minorHAnsi" w:hAnsiTheme="minorHAnsi"/>
          <w:b/>
          <w:sz w:val="28"/>
          <w:szCs w:val="28"/>
        </w:rPr>
        <w:t>Limitations</w:t>
      </w:r>
      <w:r w:rsidR="002F2901">
        <w:rPr>
          <w:rFonts w:asciiTheme="minorHAnsi" w:hAnsiTheme="minorHAnsi"/>
          <w:b/>
          <w:sz w:val="28"/>
          <w:szCs w:val="28"/>
        </w:rPr>
        <w:t xml:space="preserve"> </w:t>
      </w:r>
      <w:r>
        <w:rPr>
          <w:rFonts w:asciiTheme="minorHAnsi" w:hAnsiTheme="minorHAnsi"/>
          <w:b/>
          <w:sz w:val="28"/>
          <w:szCs w:val="28"/>
        </w:rPr>
        <w:t xml:space="preserve">and </w:t>
      </w:r>
      <w:r w:rsidR="00632E09">
        <w:rPr>
          <w:rFonts w:asciiTheme="minorHAnsi" w:hAnsiTheme="minorHAnsi"/>
          <w:b/>
          <w:sz w:val="28"/>
          <w:szCs w:val="28"/>
        </w:rPr>
        <w:t>Assumptions</w:t>
      </w:r>
    </w:p>
    <w:p w14:paraId="1B5E6B53" w14:textId="77777777" w:rsidR="0018543A" w:rsidRPr="00391354" w:rsidRDefault="0018543A" w:rsidP="00B95EA5">
      <w:pPr>
        <w:pStyle w:val="ListParagraph"/>
        <w:rPr>
          <w:rFonts w:asciiTheme="minorHAnsi" w:hAnsiTheme="minorHAnsi"/>
          <w:b/>
          <w:sz w:val="28"/>
          <w:szCs w:val="28"/>
        </w:rPr>
      </w:pPr>
    </w:p>
    <w:p w14:paraId="1047FE36" w14:textId="77777777" w:rsidR="003C14E9" w:rsidRPr="0062406E" w:rsidRDefault="00AD1CDF" w:rsidP="00B95EA5">
      <w:pPr>
        <w:pStyle w:val="ListParagraph"/>
        <w:numPr>
          <w:ilvl w:val="0"/>
          <w:numId w:val="19"/>
        </w:numPr>
        <w:spacing w:before="240" w:after="240" w:line="276" w:lineRule="auto"/>
        <w:jc w:val="both"/>
        <w:rPr>
          <w:rFonts w:asciiTheme="minorHAnsi" w:hAnsiTheme="minorHAnsi"/>
          <w:b/>
          <w:sz w:val="28"/>
          <w:szCs w:val="28"/>
        </w:rPr>
      </w:pPr>
      <w:r w:rsidRPr="0062406E">
        <w:rPr>
          <w:rFonts w:asciiTheme="minorHAnsi" w:hAnsiTheme="minorHAnsi"/>
          <w:b/>
          <w:sz w:val="28"/>
          <w:szCs w:val="28"/>
        </w:rPr>
        <w:t>Discussion</w:t>
      </w:r>
      <w:r w:rsidR="004F0190">
        <w:rPr>
          <w:rFonts w:asciiTheme="minorHAnsi" w:hAnsiTheme="minorHAnsi"/>
          <w:b/>
          <w:sz w:val="28"/>
          <w:szCs w:val="28"/>
        </w:rPr>
        <w:t xml:space="preserve"> and Conclusions</w:t>
      </w:r>
    </w:p>
    <w:p w14:paraId="34F013CB" w14:textId="77777777" w:rsidR="003C14E9" w:rsidRPr="0062406E" w:rsidRDefault="003C14E9" w:rsidP="00B95EA5">
      <w:pPr>
        <w:pStyle w:val="ListParagraph"/>
        <w:spacing w:before="240" w:after="240" w:line="276" w:lineRule="auto"/>
        <w:jc w:val="both"/>
        <w:rPr>
          <w:rFonts w:asciiTheme="minorHAnsi" w:hAnsiTheme="minorHAnsi"/>
          <w:b/>
          <w:sz w:val="28"/>
          <w:szCs w:val="28"/>
        </w:rPr>
      </w:pPr>
    </w:p>
    <w:p w14:paraId="793412BB" w14:textId="77777777" w:rsidR="00683564" w:rsidRPr="0062406E" w:rsidRDefault="00683564" w:rsidP="00B95EA5">
      <w:pPr>
        <w:pStyle w:val="ListParagraph"/>
        <w:rPr>
          <w:rFonts w:asciiTheme="minorHAnsi" w:hAnsiTheme="minorHAnsi"/>
          <w:b/>
          <w:sz w:val="28"/>
          <w:szCs w:val="28"/>
        </w:rPr>
      </w:pPr>
    </w:p>
    <w:p w14:paraId="5DBF94C8" w14:textId="77777777" w:rsidR="00683564" w:rsidRPr="0062406E" w:rsidRDefault="004F0190" w:rsidP="00B95EA5">
      <w:pPr>
        <w:spacing w:before="240" w:after="240"/>
        <w:ind w:left="360"/>
        <w:jc w:val="both"/>
        <w:rPr>
          <w:b/>
          <w:sz w:val="28"/>
          <w:szCs w:val="28"/>
        </w:rPr>
      </w:pPr>
      <w:r>
        <w:rPr>
          <w:b/>
          <w:sz w:val="28"/>
          <w:szCs w:val="28"/>
        </w:rPr>
        <w:t>Technical Appendix</w:t>
      </w:r>
    </w:p>
    <w:p w14:paraId="19BB9872" w14:textId="77777777" w:rsidR="00C52545" w:rsidRPr="0062406E" w:rsidRDefault="00C52545" w:rsidP="006E2DCF">
      <w:pPr>
        <w:spacing w:before="480"/>
        <w:rPr>
          <w:rFonts w:eastAsia="Times New Roman"/>
          <w:b/>
          <w:sz w:val="32"/>
          <w:szCs w:val="32"/>
        </w:rPr>
      </w:pPr>
    </w:p>
    <w:p w14:paraId="4CD41472" w14:textId="77777777" w:rsidR="00D21F3F" w:rsidRDefault="00D21F3F" w:rsidP="00D21F3F">
      <w:pPr>
        <w:rPr>
          <w:rFonts w:eastAsia="Times New Roman"/>
          <w:b/>
          <w:sz w:val="32"/>
          <w:szCs w:val="32"/>
        </w:rPr>
      </w:pPr>
    </w:p>
    <w:p w14:paraId="7F213ABE" w14:textId="77777777" w:rsidR="0062170C" w:rsidRPr="0062406E" w:rsidRDefault="0062170C" w:rsidP="00D21F3F">
      <w:pPr>
        <w:rPr>
          <w:rFonts w:eastAsia="Times New Roman"/>
          <w:b/>
          <w:sz w:val="32"/>
          <w:szCs w:val="32"/>
        </w:rPr>
      </w:pPr>
      <w:r w:rsidRPr="0062406E">
        <w:rPr>
          <w:rFonts w:eastAsia="Times New Roman"/>
          <w:b/>
          <w:sz w:val="32"/>
          <w:szCs w:val="32"/>
        </w:rPr>
        <w:lastRenderedPageBreak/>
        <w:t>Executive Summary</w:t>
      </w:r>
    </w:p>
    <w:p w14:paraId="38D7895A" w14:textId="77777777" w:rsidR="00387856" w:rsidRDefault="00D11304" w:rsidP="004B49D9">
      <w:pPr>
        <w:spacing w:before="240" w:after="0"/>
        <w:rPr>
          <w:sz w:val="24"/>
          <w:szCs w:val="24"/>
        </w:rPr>
      </w:pPr>
      <w:r>
        <w:rPr>
          <w:sz w:val="24"/>
          <w:szCs w:val="24"/>
        </w:rPr>
        <w:t xml:space="preserve">This </w:t>
      </w:r>
      <w:r w:rsidR="008F080E" w:rsidRPr="0062406E">
        <w:rPr>
          <w:sz w:val="24"/>
          <w:szCs w:val="24"/>
        </w:rPr>
        <w:t>is the second volume in a series of technical assistance repor</w:t>
      </w:r>
      <w:r w:rsidR="000213BC" w:rsidRPr="0062406E">
        <w:rPr>
          <w:sz w:val="24"/>
          <w:szCs w:val="24"/>
        </w:rPr>
        <w:t>ts produced by the</w:t>
      </w:r>
      <w:r w:rsidR="0018543A">
        <w:rPr>
          <w:sz w:val="24"/>
          <w:szCs w:val="24"/>
        </w:rPr>
        <w:t xml:space="preserve"> </w:t>
      </w:r>
      <w:r w:rsidR="00056C14">
        <w:rPr>
          <w:sz w:val="24"/>
          <w:szCs w:val="24"/>
        </w:rPr>
        <w:t>Center for Health Information and Analysis</w:t>
      </w:r>
      <w:r w:rsidR="00DE48B9">
        <w:rPr>
          <w:sz w:val="24"/>
          <w:szCs w:val="24"/>
        </w:rPr>
        <w:t xml:space="preserve"> (</w:t>
      </w:r>
      <w:r w:rsidR="004F0190">
        <w:rPr>
          <w:sz w:val="24"/>
          <w:szCs w:val="24"/>
        </w:rPr>
        <w:t>the Center</w:t>
      </w:r>
      <w:r w:rsidR="00DE48B9">
        <w:rPr>
          <w:sz w:val="24"/>
          <w:szCs w:val="24"/>
        </w:rPr>
        <w:t xml:space="preserve">), </w:t>
      </w:r>
      <w:r w:rsidR="00056C14">
        <w:rPr>
          <w:sz w:val="24"/>
          <w:szCs w:val="24"/>
        </w:rPr>
        <w:t xml:space="preserve">formerly the </w:t>
      </w:r>
      <w:r w:rsidR="0018543A">
        <w:rPr>
          <w:sz w:val="24"/>
          <w:szCs w:val="24"/>
        </w:rPr>
        <w:t>Massachusetts</w:t>
      </w:r>
      <w:r w:rsidR="000213BC" w:rsidRPr="0062406E">
        <w:rPr>
          <w:sz w:val="24"/>
          <w:szCs w:val="24"/>
        </w:rPr>
        <w:t xml:space="preserve"> Division </w:t>
      </w:r>
      <w:r w:rsidR="00904A1F" w:rsidRPr="0062406E">
        <w:rPr>
          <w:sz w:val="24"/>
          <w:szCs w:val="24"/>
        </w:rPr>
        <w:t>of Health Care Finance and Policy</w:t>
      </w:r>
      <w:r w:rsidR="00CD734C">
        <w:rPr>
          <w:sz w:val="24"/>
          <w:szCs w:val="24"/>
        </w:rPr>
        <w:t xml:space="preserve"> (the Division)</w:t>
      </w:r>
      <w:r w:rsidR="00DE48B9">
        <w:rPr>
          <w:sz w:val="24"/>
          <w:szCs w:val="24"/>
        </w:rPr>
        <w:t>,</w:t>
      </w:r>
      <w:r w:rsidR="00904A1F" w:rsidRPr="0062406E">
        <w:rPr>
          <w:sz w:val="24"/>
          <w:szCs w:val="24"/>
        </w:rPr>
        <w:t xml:space="preserve"> </w:t>
      </w:r>
      <w:r w:rsidR="000213BC" w:rsidRPr="0062406E">
        <w:rPr>
          <w:sz w:val="24"/>
          <w:szCs w:val="24"/>
        </w:rPr>
        <w:t>to</w:t>
      </w:r>
      <w:r w:rsidR="008F080E" w:rsidRPr="0062406E">
        <w:rPr>
          <w:sz w:val="24"/>
          <w:szCs w:val="24"/>
        </w:rPr>
        <w:t xml:space="preserve"> promote the adoption of bundled payment arrangement</w:t>
      </w:r>
      <w:r w:rsidR="004E53AC" w:rsidRPr="0062406E">
        <w:rPr>
          <w:sz w:val="24"/>
          <w:szCs w:val="24"/>
        </w:rPr>
        <w:t>s</w:t>
      </w:r>
      <w:r w:rsidR="008F080E" w:rsidRPr="0062406E">
        <w:rPr>
          <w:sz w:val="24"/>
          <w:szCs w:val="24"/>
        </w:rPr>
        <w:t xml:space="preserve"> </w:t>
      </w:r>
      <w:r w:rsidR="00264B58">
        <w:rPr>
          <w:sz w:val="24"/>
          <w:szCs w:val="24"/>
        </w:rPr>
        <w:t>among</w:t>
      </w:r>
      <w:r w:rsidR="00264B58" w:rsidRPr="0062406E">
        <w:rPr>
          <w:sz w:val="24"/>
          <w:szCs w:val="24"/>
        </w:rPr>
        <w:t xml:space="preserve"> </w:t>
      </w:r>
      <w:r w:rsidR="008F080E" w:rsidRPr="0062406E">
        <w:rPr>
          <w:sz w:val="24"/>
          <w:szCs w:val="24"/>
        </w:rPr>
        <w:t>providers and payers in the Commonwealth, as directed by Section 64 of Chapter 288 of the Acts of 2010.</w:t>
      </w:r>
    </w:p>
    <w:p w14:paraId="3FBD2520" w14:textId="77777777" w:rsidR="00CD734C" w:rsidRPr="00CD734C" w:rsidRDefault="007000B1" w:rsidP="004B49D9">
      <w:pPr>
        <w:spacing w:before="240"/>
        <w:rPr>
          <w:sz w:val="24"/>
          <w:szCs w:val="24"/>
        </w:rPr>
      </w:pPr>
      <w:r w:rsidRPr="0062406E">
        <w:rPr>
          <w:rFonts w:eastAsia="Times New Roman"/>
          <w:sz w:val="24"/>
          <w:szCs w:val="24"/>
        </w:rPr>
        <w:t xml:space="preserve">This report </w:t>
      </w:r>
      <w:r w:rsidR="0018543A">
        <w:rPr>
          <w:rFonts w:eastAsia="Times New Roman"/>
          <w:sz w:val="24"/>
          <w:szCs w:val="24"/>
        </w:rPr>
        <w:t xml:space="preserve">estimates </w:t>
      </w:r>
      <w:r>
        <w:rPr>
          <w:rFonts w:eastAsia="Times New Roman"/>
          <w:sz w:val="24"/>
          <w:szCs w:val="24"/>
        </w:rPr>
        <w:t xml:space="preserve">the </w:t>
      </w:r>
      <w:r w:rsidR="0018543A">
        <w:rPr>
          <w:rFonts w:eastAsia="Times New Roman"/>
          <w:sz w:val="24"/>
          <w:szCs w:val="24"/>
        </w:rPr>
        <w:t xml:space="preserve">potential </w:t>
      </w:r>
      <w:r>
        <w:rPr>
          <w:rFonts w:eastAsia="Times New Roman"/>
          <w:sz w:val="24"/>
          <w:szCs w:val="24"/>
        </w:rPr>
        <w:t xml:space="preserve">savings </w:t>
      </w:r>
      <w:r w:rsidR="00145DB5">
        <w:rPr>
          <w:rFonts w:eastAsia="Times New Roman"/>
          <w:sz w:val="24"/>
          <w:szCs w:val="24"/>
        </w:rPr>
        <w:t xml:space="preserve">that may have been achieved </w:t>
      </w:r>
      <w:r w:rsidR="00D11304">
        <w:rPr>
          <w:rFonts w:eastAsia="Times New Roman"/>
          <w:sz w:val="24"/>
          <w:szCs w:val="24"/>
        </w:rPr>
        <w:t xml:space="preserve">in the Commonwealth </w:t>
      </w:r>
      <w:r w:rsidR="004F0190">
        <w:rPr>
          <w:rFonts w:eastAsia="Times New Roman"/>
          <w:sz w:val="24"/>
          <w:szCs w:val="24"/>
        </w:rPr>
        <w:t xml:space="preserve">for model year </w:t>
      </w:r>
      <w:r w:rsidR="00CD734C">
        <w:rPr>
          <w:rFonts w:eastAsia="Times New Roman"/>
          <w:sz w:val="24"/>
          <w:szCs w:val="24"/>
        </w:rPr>
        <w:t xml:space="preserve">2009 </w:t>
      </w:r>
      <w:r>
        <w:rPr>
          <w:rFonts w:eastAsia="Times New Roman"/>
          <w:sz w:val="24"/>
          <w:szCs w:val="24"/>
        </w:rPr>
        <w:t>by using bundled payment</w:t>
      </w:r>
      <w:r w:rsidR="007E5162">
        <w:rPr>
          <w:rFonts w:eastAsia="Times New Roman"/>
          <w:sz w:val="24"/>
          <w:szCs w:val="24"/>
        </w:rPr>
        <w:t xml:space="preserve"> </w:t>
      </w:r>
      <w:r w:rsidR="00032286">
        <w:rPr>
          <w:rFonts w:eastAsia="Times New Roman"/>
          <w:sz w:val="24"/>
          <w:szCs w:val="24"/>
        </w:rPr>
        <w:t>method</w:t>
      </w:r>
      <w:r w:rsidR="00D11304">
        <w:rPr>
          <w:rFonts w:eastAsia="Times New Roman"/>
          <w:sz w:val="24"/>
          <w:szCs w:val="24"/>
        </w:rPr>
        <w:t>s</w:t>
      </w:r>
      <w:r w:rsidR="00FA1986">
        <w:rPr>
          <w:rFonts w:eastAsia="Times New Roman"/>
          <w:sz w:val="24"/>
          <w:szCs w:val="24"/>
        </w:rPr>
        <w:t>,</w:t>
      </w:r>
      <w:r w:rsidR="00CB60CC">
        <w:rPr>
          <w:rFonts w:eastAsia="Times New Roman"/>
          <w:sz w:val="24"/>
          <w:szCs w:val="24"/>
        </w:rPr>
        <w:t xml:space="preserve"> as</w:t>
      </w:r>
      <w:r>
        <w:rPr>
          <w:rFonts w:eastAsia="Times New Roman"/>
          <w:sz w:val="24"/>
          <w:szCs w:val="24"/>
        </w:rPr>
        <w:t xml:space="preserve"> compared to traditional fee-for-service payment</w:t>
      </w:r>
      <w:r w:rsidR="004F0190">
        <w:rPr>
          <w:rFonts w:eastAsia="Times New Roman"/>
          <w:sz w:val="24"/>
          <w:szCs w:val="24"/>
        </w:rPr>
        <w:t>s</w:t>
      </w:r>
      <w:r w:rsidR="00145DB5">
        <w:rPr>
          <w:rFonts w:eastAsia="Times New Roman"/>
          <w:sz w:val="24"/>
          <w:szCs w:val="24"/>
        </w:rPr>
        <w:t xml:space="preserve">. </w:t>
      </w:r>
      <w:r>
        <w:rPr>
          <w:rFonts w:eastAsia="Times New Roman"/>
          <w:sz w:val="24"/>
          <w:szCs w:val="24"/>
        </w:rPr>
        <w:t xml:space="preserve">Payment bundling was simulated </w:t>
      </w:r>
      <w:r w:rsidR="004F0190">
        <w:rPr>
          <w:rFonts w:eastAsia="Times New Roman"/>
          <w:sz w:val="24"/>
          <w:szCs w:val="24"/>
        </w:rPr>
        <w:t xml:space="preserve">for seven medical conditions </w:t>
      </w:r>
      <w:r>
        <w:rPr>
          <w:rFonts w:eastAsia="Times New Roman"/>
          <w:sz w:val="24"/>
          <w:szCs w:val="24"/>
        </w:rPr>
        <w:t xml:space="preserve">using </w:t>
      </w:r>
      <w:r w:rsidRPr="0062406E">
        <w:rPr>
          <w:rFonts w:eastAsia="Times New Roman"/>
          <w:sz w:val="24"/>
          <w:szCs w:val="24"/>
        </w:rPr>
        <w:t>the publicly available Prometheus Payment Model</w:t>
      </w:r>
      <w:r w:rsidR="00056C14">
        <w:rPr>
          <w:rStyle w:val="FootnoteReference"/>
          <w:rFonts w:eastAsia="Times New Roman"/>
          <w:sz w:val="24"/>
          <w:szCs w:val="24"/>
        </w:rPr>
        <w:footnoteReference w:id="1"/>
      </w:r>
      <w:r w:rsidR="00CD734C">
        <w:rPr>
          <w:rFonts w:eastAsia="Times New Roman"/>
          <w:sz w:val="24"/>
          <w:szCs w:val="24"/>
        </w:rPr>
        <w:t xml:space="preserve"> and </w:t>
      </w:r>
      <w:r w:rsidR="00D11304">
        <w:rPr>
          <w:rFonts w:eastAsia="Times New Roman"/>
          <w:sz w:val="24"/>
          <w:szCs w:val="24"/>
        </w:rPr>
        <w:t>with</w:t>
      </w:r>
      <w:r w:rsidR="004F0190">
        <w:rPr>
          <w:rFonts w:eastAsia="Times New Roman"/>
          <w:sz w:val="24"/>
          <w:szCs w:val="24"/>
        </w:rPr>
        <w:t xml:space="preserve"> </w:t>
      </w:r>
      <w:r w:rsidR="00CD734C">
        <w:rPr>
          <w:rFonts w:eastAsia="Times New Roman"/>
          <w:sz w:val="24"/>
          <w:szCs w:val="24"/>
        </w:rPr>
        <w:t xml:space="preserve">enrollment and claims data from three private </w:t>
      </w:r>
      <w:r w:rsidR="00145DB5">
        <w:rPr>
          <w:rFonts w:eastAsia="Times New Roman"/>
          <w:sz w:val="24"/>
          <w:szCs w:val="24"/>
        </w:rPr>
        <w:t xml:space="preserve">Massachusetts </w:t>
      </w:r>
      <w:r w:rsidR="00CD734C">
        <w:rPr>
          <w:rFonts w:eastAsia="Times New Roman"/>
          <w:sz w:val="24"/>
          <w:szCs w:val="24"/>
        </w:rPr>
        <w:t>commercial payers, which represented approximately 65</w:t>
      </w:r>
      <w:r w:rsidR="008401BB">
        <w:rPr>
          <w:rFonts w:eastAsia="Times New Roman"/>
          <w:sz w:val="24"/>
          <w:szCs w:val="24"/>
        </w:rPr>
        <w:t>%</w:t>
      </w:r>
      <w:r w:rsidR="00CD734C">
        <w:rPr>
          <w:rFonts w:eastAsia="Times New Roman"/>
          <w:sz w:val="24"/>
          <w:szCs w:val="24"/>
        </w:rPr>
        <w:t xml:space="preserve"> of the state’s commercially insured market</w:t>
      </w:r>
      <w:r w:rsidRPr="0062406E">
        <w:rPr>
          <w:rFonts w:eastAsia="Times New Roman"/>
          <w:sz w:val="24"/>
          <w:szCs w:val="24"/>
        </w:rPr>
        <w:t xml:space="preserve">. </w:t>
      </w:r>
    </w:p>
    <w:p w14:paraId="564617E3" w14:textId="77777777" w:rsidR="00EC5E44" w:rsidRPr="0062406E" w:rsidRDefault="00A52681" w:rsidP="004B49D9">
      <w:pPr>
        <w:rPr>
          <w:sz w:val="24"/>
          <w:szCs w:val="24"/>
        </w:rPr>
      </w:pPr>
      <w:r>
        <w:rPr>
          <w:sz w:val="24"/>
          <w:szCs w:val="24"/>
        </w:rPr>
        <w:t xml:space="preserve">The implementation of Prometheus </w:t>
      </w:r>
      <w:r w:rsidR="004F0190">
        <w:rPr>
          <w:sz w:val="24"/>
          <w:szCs w:val="24"/>
        </w:rPr>
        <w:t>bundled payments</w:t>
      </w:r>
      <w:r>
        <w:rPr>
          <w:sz w:val="24"/>
          <w:szCs w:val="24"/>
        </w:rPr>
        <w:t>, with the assumptions of our analysis, would have resulted in a $26 million savings (12.8</w:t>
      </w:r>
      <w:r w:rsidR="004B49D9">
        <w:rPr>
          <w:sz w:val="24"/>
          <w:szCs w:val="24"/>
        </w:rPr>
        <w:t>%</w:t>
      </w:r>
      <w:r>
        <w:rPr>
          <w:sz w:val="24"/>
          <w:szCs w:val="24"/>
        </w:rPr>
        <w:t xml:space="preserve">) for the seven </w:t>
      </w:r>
      <w:r w:rsidR="008E2B6D">
        <w:rPr>
          <w:sz w:val="24"/>
          <w:szCs w:val="24"/>
        </w:rPr>
        <w:t xml:space="preserve">selected </w:t>
      </w:r>
      <w:r>
        <w:rPr>
          <w:sz w:val="24"/>
          <w:szCs w:val="24"/>
        </w:rPr>
        <w:t>conditions</w:t>
      </w:r>
      <w:r w:rsidR="004B49D9">
        <w:rPr>
          <w:sz w:val="24"/>
          <w:szCs w:val="24"/>
        </w:rPr>
        <w:t>.</w:t>
      </w:r>
      <w:r w:rsidR="008E2B6D">
        <w:rPr>
          <w:sz w:val="24"/>
          <w:szCs w:val="24"/>
        </w:rPr>
        <w:t xml:space="preserve"> Total payments would </w:t>
      </w:r>
      <w:r>
        <w:rPr>
          <w:sz w:val="24"/>
          <w:szCs w:val="24"/>
        </w:rPr>
        <w:t>have decrease</w:t>
      </w:r>
      <w:r w:rsidR="008E2B6D">
        <w:rPr>
          <w:sz w:val="24"/>
          <w:szCs w:val="24"/>
        </w:rPr>
        <w:t>d</w:t>
      </w:r>
      <w:r>
        <w:rPr>
          <w:sz w:val="24"/>
          <w:szCs w:val="24"/>
        </w:rPr>
        <w:t xml:space="preserve"> from $201 million to </w:t>
      </w:r>
      <w:r w:rsidR="004F0190">
        <w:rPr>
          <w:sz w:val="24"/>
          <w:szCs w:val="24"/>
        </w:rPr>
        <w:t xml:space="preserve">an </w:t>
      </w:r>
      <w:r w:rsidR="008E2B6D">
        <w:rPr>
          <w:sz w:val="24"/>
          <w:szCs w:val="24"/>
        </w:rPr>
        <w:t>estimated</w:t>
      </w:r>
      <w:r>
        <w:rPr>
          <w:sz w:val="24"/>
          <w:szCs w:val="24"/>
        </w:rPr>
        <w:t xml:space="preserve">  $175 million</w:t>
      </w:r>
      <w:r w:rsidR="00903758">
        <w:rPr>
          <w:sz w:val="24"/>
          <w:szCs w:val="24"/>
        </w:rPr>
        <w:t>.</w:t>
      </w:r>
      <w:r w:rsidR="00EC5E44" w:rsidRPr="0062406E">
        <w:rPr>
          <w:rStyle w:val="FootnoteReference"/>
          <w:sz w:val="24"/>
          <w:szCs w:val="24"/>
        </w:rPr>
        <w:footnoteReference w:id="2"/>
      </w:r>
      <w:r w:rsidR="00903758" w:rsidRPr="00903758">
        <w:rPr>
          <w:sz w:val="24"/>
          <w:szCs w:val="24"/>
        </w:rPr>
        <w:t xml:space="preserve"> </w:t>
      </w:r>
      <w:r>
        <w:rPr>
          <w:sz w:val="24"/>
          <w:szCs w:val="24"/>
        </w:rPr>
        <w:t>S</w:t>
      </w:r>
      <w:r w:rsidR="00BC1A58">
        <w:rPr>
          <w:sz w:val="24"/>
          <w:szCs w:val="24"/>
        </w:rPr>
        <w:t xml:space="preserve">avings would have been achieved primarily through </w:t>
      </w:r>
      <w:r w:rsidR="004B79F7">
        <w:rPr>
          <w:sz w:val="24"/>
          <w:szCs w:val="24"/>
        </w:rPr>
        <w:t>a</w:t>
      </w:r>
      <w:r w:rsidR="00BC1A58">
        <w:rPr>
          <w:sz w:val="24"/>
          <w:szCs w:val="24"/>
        </w:rPr>
        <w:t xml:space="preserve"> </w:t>
      </w:r>
      <w:r w:rsidR="00BC1A58" w:rsidRPr="004B79F7">
        <w:rPr>
          <w:sz w:val="24"/>
          <w:szCs w:val="24"/>
        </w:rPr>
        <w:t>$</w:t>
      </w:r>
      <w:r w:rsidR="004B79F7" w:rsidRPr="004B79F7">
        <w:rPr>
          <w:sz w:val="24"/>
          <w:szCs w:val="24"/>
        </w:rPr>
        <w:t>17.4</w:t>
      </w:r>
      <w:r w:rsidR="00BC1A58" w:rsidRPr="004B79F7">
        <w:rPr>
          <w:sz w:val="24"/>
          <w:szCs w:val="24"/>
        </w:rPr>
        <w:t xml:space="preserve"> million</w:t>
      </w:r>
      <w:r w:rsidR="00145DB5">
        <w:rPr>
          <w:sz w:val="24"/>
          <w:szCs w:val="24"/>
        </w:rPr>
        <w:t xml:space="preserve"> reduction in</w:t>
      </w:r>
      <w:r w:rsidR="00DF2A39">
        <w:rPr>
          <w:sz w:val="24"/>
          <w:szCs w:val="24"/>
        </w:rPr>
        <w:t xml:space="preserve"> the cost of potentially avoidable complications (</w:t>
      </w:r>
      <w:r w:rsidR="00145DB5">
        <w:rPr>
          <w:sz w:val="24"/>
          <w:szCs w:val="24"/>
        </w:rPr>
        <w:t>PAC</w:t>
      </w:r>
      <w:r w:rsidR="00DF2A39">
        <w:rPr>
          <w:sz w:val="24"/>
          <w:szCs w:val="24"/>
        </w:rPr>
        <w:t>)</w:t>
      </w:r>
      <w:r w:rsidR="00BC1A58">
        <w:rPr>
          <w:sz w:val="24"/>
          <w:szCs w:val="24"/>
        </w:rPr>
        <w:t xml:space="preserve">. </w:t>
      </w:r>
      <w:r w:rsidR="0018543A" w:rsidRPr="004B79F7">
        <w:rPr>
          <w:sz w:val="24"/>
          <w:szCs w:val="24"/>
        </w:rPr>
        <w:t xml:space="preserve">Across </w:t>
      </w:r>
      <w:r w:rsidR="004F0190">
        <w:rPr>
          <w:sz w:val="24"/>
          <w:szCs w:val="24"/>
        </w:rPr>
        <w:t>each of the seven</w:t>
      </w:r>
      <w:r w:rsidR="004F0190" w:rsidRPr="004B79F7">
        <w:rPr>
          <w:sz w:val="24"/>
          <w:szCs w:val="24"/>
        </w:rPr>
        <w:t xml:space="preserve"> </w:t>
      </w:r>
      <w:r w:rsidR="0018543A" w:rsidRPr="004B79F7">
        <w:rPr>
          <w:sz w:val="24"/>
          <w:szCs w:val="24"/>
        </w:rPr>
        <w:t xml:space="preserve">conditions, PACs </w:t>
      </w:r>
      <w:r w:rsidRPr="004B79F7">
        <w:rPr>
          <w:sz w:val="24"/>
          <w:szCs w:val="24"/>
        </w:rPr>
        <w:t>were estimated to represent</w:t>
      </w:r>
      <w:r w:rsidR="004B49D9">
        <w:rPr>
          <w:sz w:val="24"/>
          <w:szCs w:val="24"/>
        </w:rPr>
        <w:t xml:space="preserve"> an average of 17% </w:t>
      </w:r>
      <w:r w:rsidR="0018543A" w:rsidRPr="004B79F7">
        <w:rPr>
          <w:sz w:val="24"/>
          <w:szCs w:val="24"/>
        </w:rPr>
        <w:t>of total costs.</w:t>
      </w:r>
      <w:r w:rsidR="0018543A">
        <w:rPr>
          <w:sz w:val="24"/>
          <w:szCs w:val="24"/>
        </w:rPr>
        <w:t xml:space="preserve"> </w:t>
      </w:r>
      <w:r w:rsidR="00DF2A39">
        <w:rPr>
          <w:sz w:val="24"/>
          <w:szCs w:val="24"/>
        </w:rPr>
        <w:t xml:space="preserve">Given the substantial proportion of the state’s population left unaccounted for, this report </w:t>
      </w:r>
      <w:r w:rsidR="00DF2A39" w:rsidRPr="0062406E">
        <w:rPr>
          <w:sz w:val="24"/>
          <w:szCs w:val="24"/>
        </w:rPr>
        <w:t xml:space="preserve">may underestimate the </w:t>
      </w:r>
      <w:r w:rsidR="00DF2A39">
        <w:rPr>
          <w:sz w:val="24"/>
          <w:szCs w:val="24"/>
        </w:rPr>
        <w:t xml:space="preserve">total </w:t>
      </w:r>
      <w:r w:rsidR="00DF2A39" w:rsidRPr="0062406E">
        <w:rPr>
          <w:sz w:val="24"/>
          <w:szCs w:val="24"/>
        </w:rPr>
        <w:t>potential savings.</w:t>
      </w:r>
    </w:p>
    <w:p w14:paraId="5A0F4272" w14:textId="77777777" w:rsidR="004B79F7" w:rsidRDefault="004B79F7" w:rsidP="004B49D9">
      <w:pPr>
        <w:rPr>
          <w:sz w:val="24"/>
          <w:szCs w:val="24"/>
        </w:rPr>
      </w:pPr>
      <w:r>
        <w:rPr>
          <w:sz w:val="24"/>
          <w:szCs w:val="24"/>
        </w:rPr>
        <w:t>Estimated</w:t>
      </w:r>
      <w:r w:rsidR="004E56E8">
        <w:rPr>
          <w:sz w:val="24"/>
          <w:szCs w:val="24"/>
        </w:rPr>
        <w:t xml:space="preserve"> </w:t>
      </w:r>
      <w:r w:rsidR="00BC1A58">
        <w:rPr>
          <w:sz w:val="24"/>
          <w:szCs w:val="24"/>
        </w:rPr>
        <w:t>savings</w:t>
      </w:r>
      <w:r w:rsidR="00145DB5">
        <w:rPr>
          <w:sz w:val="24"/>
          <w:szCs w:val="24"/>
        </w:rPr>
        <w:t xml:space="preserve"> resulting</w:t>
      </w:r>
      <w:r w:rsidR="00BC1A58">
        <w:rPr>
          <w:sz w:val="24"/>
          <w:szCs w:val="24"/>
        </w:rPr>
        <w:t xml:space="preserve"> from PAC reduction</w:t>
      </w:r>
      <w:r>
        <w:rPr>
          <w:sz w:val="24"/>
          <w:szCs w:val="24"/>
        </w:rPr>
        <w:t xml:space="preserve">s, </w:t>
      </w:r>
      <w:r w:rsidR="00724C96">
        <w:rPr>
          <w:sz w:val="24"/>
          <w:szCs w:val="24"/>
        </w:rPr>
        <w:t xml:space="preserve">however, </w:t>
      </w:r>
      <w:r w:rsidR="00BC1A58">
        <w:rPr>
          <w:sz w:val="24"/>
          <w:szCs w:val="24"/>
        </w:rPr>
        <w:t>v</w:t>
      </w:r>
      <w:r>
        <w:rPr>
          <w:sz w:val="24"/>
          <w:szCs w:val="24"/>
        </w:rPr>
        <w:t>aried</w:t>
      </w:r>
      <w:r w:rsidR="00724C96">
        <w:rPr>
          <w:sz w:val="24"/>
          <w:szCs w:val="24"/>
        </w:rPr>
        <w:t xml:space="preserve"> considerably </w:t>
      </w:r>
      <w:r>
        <w:rPr>
          <w:sz w:val="24"/>
          <w:szCs w:val="24"/>
        </w:rPr>
        <w:t>between conditions</w:t>
      </w:r>
      <w:r w:rsidR="004B49D9">
        <w:rPr>
          <w:sz w:val="24"/>
          <w:szCs w:val="24"/>
        </w:rPr>
        <w:t>.</w:t>
      </w:r>
      <w:r w:rsidR="00941EE2">
        <w:rPr>
          <w:sz w:val="24"/>
          <w:szCs w:val="24"/>
        </w:rPr>
        <w:t xml:space="preserve"> For instance, while </w:t>
      </w:r>
      <w:r w:rsidR="004F0190">
        <w:rPr>
          <w:sz w:val="24"/>
          <w:szCs w:val="24"/>
        </w:rPr>
        <w:t>c</w:t>
      </w:r>
      <w:r w:rsidR="00941EE2">
        <w:rPr>
          <w:sz w:val="24"/>
          <w:szCs w:val="24"/>
        </w:rPr>
        <w:t xml:space="preserve">olonoscopy carried </w:t>
      </w:r>
      <w:r w:rsidR="00145DB5">
        <w:rPr>
          <w:sz w:val="24"/>
          <w:szCs w:val="24"/>
        </w:rPr>
        <w:t xml:space="preserve">an </w:t>
      </w:r>
      <w:r w:rsidR="00941EE2">
        <w:rPr>
          <w:sz w:val="24"/>
          <w:szCs w:val="24"/>
        </w:rPr>
        <w:t>estimated PAC savings of only 6.4</w:t>
      </w:r>
      <w:r w:rsidR="004B49D9">
        <w:rPr>
          <w:sz w:val="24"/>
          <w:szCs w:val="24"/>
        </w:rPr>
        <w:t>%</w:t>
      </w:r>
      <w:r w:rsidR="00941EE2">
        <w:rPr>
          <w:sz w:val="24"/>
          <w:szCs w:val="24"/>
        </w:rPr>
        <w:t xml:space="preserve">, </w:t>
      </w:r>
      <w:r w:rsidR="00DF2A39">
        <w:rPr>
          <w:sz w:val="24"/>
          <w:szCs w:val="24"/>
        </w:rPr>
        <w:t xml:space="preserve">coronary artery bypass graft (CABG) </w:t>
      </w:r>
      <w:r w:rsidR="00941EE2">
        <w:rPr>
          <w:sz w:val="24"/>
          <w:szCs w:val="24"/>
        </w:rPr>
        <w:t>had an estimated PAC savings of 15.4</w:t>
      </w:r>
      <w:r w:rsidR="004B49D9">
        <w:rPr>
          <w:sz w:val="24"/>
          <w:szCs w:val="24"/>
        </w:rPr>
        <w:t>%</w:t>
      </w:r>
      <w:r w:rsidR="00B92679">
        <w:rPr>
          <w:sz w:val="24"/>
          <w:szCs w:val="24"/>
        </w:rPr>
        <w:t>, le</w:t>
      </w:r>
      <w:r w:rsidR="004B49D9">
        <w:rPr>
          <w:sz w:val="24"/>
          <w:szCs w:val="24"/>
        </w:rPr>
        <w:t xml:space="preserve">ading to overall savings of 0.8% </w:t>
      </w:r>
      <w:r w:rsidR="00B92679">
        <w:rPr>
          <w:sz w:val="24"/>
          <w:szCs w:val="24"/>
        </w:rPr>
        <w:t>and 44.2</w:t>
      </w:r>
      <w:r w:rsidR="004B49D9">
        <w:rPr>
          <w:sz w:val="24"/>
          <w:szCs w:val="24"/>
        </w:rPr>
        <w:t>%</w:t>
      </w:r>
      <w:r w:rsidR="00145DB5">
        <w:rPr>
          <w:sz w:val="24"/>
          <w:szCs w:val="24"/>
        </w:rPr>
        <w:t>, respectively</w:t>
      </w:r>
      <w:r w:rsidR="004F0190">
        <w:rPr>
          <w:sz w:val="24"/>
          <w:szCs w:val="24"/>
        </w:rPr>
        <w:t xml:space="preserve">. </w:t>
      </w:r>
      <w:r w:rsidR="00B92679">
        <w:rPr>
          <w:sz w:val="24"/>
          <w:szCs w:val="24"/>
        </w:rPr>
        <w:t xml:space="preserve">These variations highlight </w:t>
      </w:r>
      <w:r w:rsidR="000646FB">
        <w:rPr>
          <w:sz w:val="24"/>
          <w:szCs w:val="24"/>
        </w:rPr>
        <w:t xml:space="preserve">the importance of further investigation into </w:t>
      </w:r>
      <w:r w:rsidR="00145DB5">
        <w:rPr>
          <w:sz w:val="24"/>
          <w:szCs w:val="24"/>
        </w:rPr>
        <w:t xml:space="preserve">targeted use of </w:t>
      </w:r>
      <w:r w:rsidR="000646FB">
        <w:rPr>
          <w:sz w:val="24"/>
          <w:szCs w:val="24"/>
        </w:rPr>
        <w:t>bundled payment</w:t>
      </w:r>
      <w:r w:rsidR="00145DB5">
        <w:rPr>
          <w:sz w:val="24"/>
          <w:szCs w:val="24"/>
        </w:rPr>
        <w:t>s</w:t>
      </w:r>
      <w:r w:rsidR="000646FB">
        <w:rPr>
          <w:sz w:val="24"/>
          <w:szCs w:val="24"/>
        </w:rPr>
        <w:t xml:space="preserve"> for </w:t>
      </w:r>
      <w:r w:rsidR="00145DB5">
        <w:rPr>
          <w:sz w:val="24"/>
          <w:szCs w:val="24"/>
        </w:rPr>
        <w:t xml:space="preserve">high volume </w:t>
      </w:r>
      <w:r w:rsidR="000646FB">
        <w:rPr>
          <w:sz w:val="24"/>
          <w:szCs w:val="24"/>
        </w:rPr>
        <w:t>conditions with the greatest PAC and “typical care cost” savings potential.</w:t>
      </w:r>
    </w:p>
    <w:p w14:paraId="1674E73C" w14:textId="77777777" w:rsidR="00AE21ED" w:rsidRPr="0062406E" w:rsidRDefault="00DF2A39" w:rsidP="004B49D9">
      <w:pPr>
        <w:rPr>
          <w:sz w:val="24"/>
          <w:szCs w:val="24"/>
        </w:rPr>
      </w:pPr>
      <w:r>
        <w:rPr>
          <w:sz w:val="24"/>
          <w:szCs w:val="24"/>
        </w:rPr>
        <w:t>In addition to savings, this simulation indicates that b</w:t>
      </w:r>
      <w:r w:rsidR="000646FB">
        <w:rPr>
          <w:sz w:val="24"/>
          <w:szCs w:val="24"/>
        </w:rPr>
        <w:t>undled</w:t>
      </w:r>
      <w:r w:rsidR="005A01E4" w:rsidRPr="0062406E">
        <w:rPr>
          <w:sz w:val="24"/>
          <w:szCs w:val="24"/>
        </w:rPr>
        <w:t xml:space="preserve"> payments</w:t>
      </w:r>
      <w:r w:rsidR="005A01E4">
        <w:rPr>
          <w:sz w:val="24"/>
          <w:szCs w:val="24"/>
        </w:rPr>
        <w:t xml:space="preserve"> </w:t>
      </w:r>
      <w:r w:rsidR="00BF2325">
        <w:rPr>
          <w:sz w:val="24"/>
          <w:szCs w:val="24"/>
        </w:rPr>
        <w:t>have</w:t>
      </w:r>
      <w:r w:rsidR="005A01E4" w:rsidRPr="0062406E">
        <w:rPr>
          <w:sz w:val="24"/>
          <w:szCs w:val="24"/>
        </w:rPr>
        <w:t xml:space="preserve"> the potential to narrow provider price variation</w:t>
      </w:r>
      <w:r w:rsidR="00C223FB">
        <w:rPr>
          <w:sz w:val="24"/>
          <w:szCs w:val="24"/>
        </w:rPr>
        <w:t>, improve transparency in health care payments</w:t>
      </w:r>
      <w:r w:rsidR="00BF2325">
        <w:rPr>
          <w:sz w:val="24"/>
          <w:szCs w:val="24"/>
        </w:rPr>
        <w:t>,</w:t>
      </w:r>
      <w:r w:rsidR="005A01E4" w:rsidRPr="0062406E">
        <w:rPr>
          <w:sz w:val="24"/>
          <w:szCs w:val="24"/>
        </w:rPr>
        <w:t xml:space="preserve"> and contain cost escalation. </w:t>
      </w:r>
      <w:r w:rsidR="00C223FB">
        <w:rPr>
          <w:sz w:val="24"/>
          <w:szCs w:val="24"/>
        </w:rPr>
        <w:t>T</w:t>
      </w:r>
      <w:r w:rsidR="005A01E4" w:rsidRPr="0062406E">
        <w:rPr>
          <w:sz w:val="24"/>
          <w:szCs w:val="24"/>
        </w:rPr>
        <w:t xml:space="preserve">he </w:t>
      </w:r>
      <w:r w:rsidR="00A50BCC">
        <w:rPr>
          <w:sz w:val="24"/>
          <w:szCs w:val="24"/>
        </w:rPr>
        <w:t xml:space="preserve">established </w:t>
      </w:r>
      <w:r w:rsidR="005A01E4" w:rsidRPr="0062406E">
        <w:rPr>
          <w:sz w:val="24"/>
          <w:szCs w:val="24"/>
        </w:rPr>
        <w:t>base rate</w:t>
      </w:r>
      <w:r w:rsidR="000646FB">
        <w:rPr>
          <w:sz w:val="24"/>
          <w:szCs w:val="24"/>
        </w:rPr>
        <w:t xml:space="preserve"> for “typical care costs”</w:t>
      </w:r>
      <w:r w:rsidR="005A01E4" w:rsidRPr="0062406E">
        <w:rPr>
          <w:sz w:val="24"/>
          <w:szCs w:val="24"/>
        </w:rPr>
        <w:t xml:space="preserve"> </w:t>
      </w:r>
      <w:r w:rsidR="00A50BCC">
        <w:rPr>
          <w:sz w:val="24"/>
          <w:szCs w:val="24"/>
        </w:rPr>
        <w:t xml:space="preserve">and PAC allowance </w:t>
      </w:r>
      <w:r w:rsidR="005A01E4" w:rsidRPr="0062406E">
        <w:rPr>
          <w:sz w:val="24"/>
          <w:szCs w:val="24"/>
        </w:rPr>
        <w:t>included in the</w:t>
      </w:r>
      <w:r w:rsidR="00C223FB">
        <w:rPr>
          <w:sz w:val="24"/>
          <w:szCs w:val="24"/>
        </w:rPr>
        <w:t xml:space="preserve"> Prometheus</w:t>
      </w:r>
      <w:r w:rsidR="005A01E4" w:rsidRPr="0062406E">
        <w:rPr>
          <w:sz w:val="24"/>
          <w:szCs w:val="24"/>
        </w:rPr>
        <w:t xml:space="preserve"> </w:t>
      </w:r>
      <w:r>
        <w:rPr>
          <w:sz w:val="24"/>
          <w:szCs w:val="24"/>
        </w:rPr>
        <w:t xml:space="preserve">bundled </w:t>
      </w:r>
      <w:r w:rsidR="005A01E4" w:rsidRPr="0062406E">
        <w:rPr>
          <w:sz w:val="24"/>
          <w:szCs w:val="24"/>
        </w:rPr>
        <w:t>E</w:t>
      </w:r>
      <w:r>
        <w:rPr>
          <w:sz w:val="24"/>
          <w:szCs w:val="24"/>
        </w:rPr>
        <w:t xml:space="preserve">vidence-Informed </w:t>
      </w:r>
      <w:r w:rsidR="005A01E4" w:rsidRPr="0062406E">
        <w:rPr>
          <w:sz w:val="24"/>
          <w:szCs w:val="24"/>
        </w:rPr>
        <w:t>C</w:t>
      </w:r>
      <w:r>
        <w:rPr>
          <w:sz w:val="24"/>
          <w:szCs w:val="24"/>
        </w:rPr>
        <w:t xml:space="preserve">ase </w:t>
      </w:r>
      <w:r w:rsidR="005A01E4" w:rsidRPr="0062406E">
        <w:rPr>
          <w:sz w:val="24"/>
          <w:szCs w:val="24"/>
        </w:rPr>
        <w:t>R</w:t>
      </w:r>
      <w:r>
        <w:rPr>
          <w:sz w:val="24"/>
          <w:szCs w:val="24"/>
        </w:rPr>
        <w:t>ate (ECR)</w:t>
      </w:r>
      <w:r w:rsidR="00BF2325">
        <w:rPr>
          <w:sz w:val="24"/>
          <w:szCs w:val="24"/>
        </w:rPr>
        <w:t>,</w:t>
      </w:r>
      <w:r w:rsidR="00A50BCC">
        <w:rPr>
          <w:sz w:val="24"/>
          <w:szCs w:val="24"/>
        </w:rPr>
        <w:t xml:space="preserve"> and derived from </w:t>
      </w:r>
      <w:r w:rsidR="000646FB">
        <w:rPr>
          <w:sz w:val="24"/>
          <w:szCs w:val="24"/>
        </w:rPr>
        <w:t xml:space="preserve">actual </w:t>
      </w:r>
      <w:r w:rsidR="00A50BCC">
        <w:rPr>
          <w:sz w:val="24"/>
          <w:szCs w:val="24"/>
        </w:rPr>
        <w:t xml:space="preserve">claims </w:t>
      </w:r>
      <w:r w:rsidR="00A50BCC">
        <w:rPr>
          <w:sz w:val="24"/>
          <w:szCs w:val="24"/>
        </w:rPr>
        <w:lastRenderedPageBreak/>
        <w:t>data</w:t>
      </w:r>
      <w:r w:rsidR="00BF2325">
        <w:rPr>
          <w:sz w:val="24"/>
          <w:szCs w:val="24"/>
        </w:rPr>
        <w:t xml:space="preserve">, </w:t>
      </w:r>
      <w:r w:rsidR="000646FB">
        <w:rPr>
          <w:sz w:val="24"/>
          <w:szCs w:val="24"/>
        </w:rPr>
        <w:t>have the potential to</w:t>
      </w:r>
      <w:r w:rsidR="005A01E4" w:rsidRPr="0062406E">
        <w:rPr>
          <w:sz w:val="24"/>
          <w:szCs w:val="24"/>
        </w:rPr>
        <w:t xml:space="preserve"> be used as</w:t>
      </w:r>
      <w:r w:rsidR="00A50BCC">
        <w:rPr>
          <w:sz w:val="24"/>
          <w:szCs w:val="24"/>
        </w:rPr>
        <w:t xml:space="preserve"> </w:t>
      </w:r>
      <w:r w:rsidR="005A01E4" w:rsidRPr="0062406E">
        <w:rPr>
          <w:sz w:val="24"/>
          <w:szCs w:val="24"/>
        </w:rPr>
        <w:t>baseline</w:t>
      </w:r>
      <w:r w:rsidR="0072438C">
        <w:rPr>
          <w:sz w:val="24"/>
          <w:szCs w:val="24"/>
        </w:rPr>
        <w:t xml:space="preserve"> </w:t>
      </w:r>
      <w:r w:rsidR="005A01E4" w:rsidRPr="0062406E">
        <w:rPr>
          <w:sz w:val="24"/>
          <w:szCs w:val="24"/>
        </w:rPr>
        <w:t>price</w:t>
      </w:r>
      <w:r w:rsidR="00A50BCC">
        <w:rPr>
          <w:sz w:val="24"/>
          <w:szCs w:val="24"/>
        </w:rPr>
        <w:t>s</w:t>
      </w:r>
      <w:r w:rsidR="005A01E4" w:rsidRPr="0062406E">
        <w:rPr>
          <w:sz w:val="24"/>
          <w:szCs w:val="24"/>
        </w:rPr>
        <w:t xml:space="preserve"> for all providers treating </w:t>
      </w:r>
      <w:r w:rsidR="00BF2325">
        <w:rPr>
          <w:sz w:val="24"/>
          <w:szCs w:val="24"/>
        </w:rPr>
        <w:t>a given</w:t>
      </w:r>
      <w:r w:rsidR="005A01E4" w:rsidRPr="0062406E">
        <w:rPr>
          <w:sz w:val="24"/>
          <w:szCs w:val="24"/>
        </w:rPr>
        <w:t xml:space="preserve"> condition within a payer’s network or across all payers</w:t>
      </w:r>
      <w:r w:rsidR="00D212A7">
        <w:rPr>
          <w:sz w:val="24"/>
          <w:szCs w:val="24"/>
        </w:rPr>
        <w:t>, creating a level of price standardization not currently found in the marketplace.</w:t>
      </w:r>
    </w:p>
    <w:p w14:paraId="1DD797C8" w14:textId="77777777" w:rsidR="00F648AF" w:rsidRPr="00257F70" w:rsidRDefault="002B19B6" w:rsidP="00257F70">
      <w:pPr>
        <w:jc w:val="both"/>
        <w:rPr>
          <w:rFonts w:cstheme="minorHAnsi"/>
          <w:b/>
          <w:sz w:val="32"/>
          <w:szCs w:val="32"/>
        </w:rPr>
      </w:pPr>
      <w:r w:rsidRPr="00A729B0">
        <w:br w:type="page"/>
      </w:r>
      <w:r w:rsidR="00257F70">
        <w:rPr>
          <w:b/>
          <w:sz w:val="32"/>
          <w:szCs w:val="32"/>
        </w:rPr>
        <w:lastRenderedPageBreak/>
        <w:t>1</w:t>
      </w:r>
      <w:r w:rsidR="00257F70" w:rsidRPr="00257F70">
        <w:rPr>
          <w:b/>
          <w:sz w:val="32"/>
          <w:szCs w:val="32"/>
        </w:rPr>
        <w:t xml:space="preserve">. </w:t>
      </w:r>
      <w:r w:rsidR="00F648AF" w:rsidRPr="00257F70">
        <w:rPr>
          <w:rFonts w:cstheme="minorHAnsi"/>
          <w:b/>
          <w:sz w:val="32"/>
          <w:szCs w:val="32"/>
        </w:rPr>
        <w:t>Introduction</w:t>
      </w:r>
    </w:p>
    <w:p w14:paraId="72E682DC" w14:textId="77777777" w:rsidR="00E6561E" w:rsidRDefault="007A79D6" w:rsidP="004B49D9">
      <w:pPr>
        <w:rPr>
          <w:rFonts w:eastAsia="Times New Roman"/>
          <w:sz w:val="24"/>
          <w:szCs w:val="24"/>
        </w:rPr>
      </w:pPr>
      <w:r w:rsidRPr="0062406E">
        <w:rPr>
          <w:rFonts w:eastAsia="Times New Roman"/>
          <w:sz w:val="24"/>
          <w:szCs w:val="24"/>
        </w:rPr>
        <w:t xml:space="preserve">Section 64 of Chapter 288 of the Acts of 2010: </w:t>
      </w:r>
      <w:r w:rsidRPr="0062406E">
        <w:rPr>
          <w:rFonts w:eastAsia="Times New Roman"/>
          <w:i/>
          <w:sz w:val="24"/>
          <w:szCs w:val="24"/>
        </w:rPr>
        <w:t>An Act To Promote Cost Containment, Transparency And Efficiency In The Provision Of Quality Health Insurance For Individuals And Small Businesses</w:t>
      </w:r>
      <w:r w:rsidRPr="0062406E">
        <w:rPr>
          <w:rFonts w:eastAsia="Times New Roman"/>
          <w:sz w:val="24"/>
          <w:szCs w:val="24"/>
        </w:rPr>
        <w:t xml:space="preserve"> direct</w:t>
      </w:r>
      <w:r w:rsidR="00082BC7">
        <w:rPr>
          <w:rFonts w:eastAsia="Times New Roman"/>
          <w:sz w:val="24"/>
          <w:szCs w:val="24"/>
        </w:rPr>
        <w:t>ed</w:t>
      </w:r>
      <w:r w:rsidRPr="0062406E">
        <w:rPr>
          <w:rFonts w:eastAsia="Times New Roman"/>
          <w:sz w:val="24"/>
          <w:szCs w:val="24"/>
        </w:rPr>
        <w:t xml:space="preserve"> the Division of Health Care Finance and Policy (</w:t>
      </w:r>
      <w:r w:rsidR="000D2B46">
        <w:rPr>
          <w:rFonts w:eastAsia="Times New Roman"/>
          <w:sz w:val="24"/>
          <w:szCs w:val="24"/>
        </w:rPr>
        <w:t>the Division</w:t>
      </w:r>
      <w:r w:rsidRPr="0062406E">
        <w:rPr>
          <w:rFonts w:eastAsia="Times New Roman"/>
          <w:sz w:val="24"/>
          <w:szCs w:val="24"/>
        </w:rPr>
        <w:t>)</w:t>
      </w:r>
      <w:r w:rsidR="00082BC7">
        <w:rPr>
          <w:rFonts w:eastAsia="Times New Roman"/>
          <w:sz w:val="24"/>
          <w:szCs w:val="24"/>
        </w:rPr>
        <w:t>, now the Center for Health Information and Analysis (</w:t>
      </w:r>
      <w:r w:rsidR="0072438C">
        <w:rPr>
          <w:rFonts w:eastAsia="Times New Roman"/>
          <w:sz w:val="24"/>
          <w:szCs w:val="24"/>
        </w:rPr>
        <w:t>the Center</w:t>
      </w:r>
      <w:r w:rsidR="00082BC7">
        <w:rPr>
          <w:rFonts w:eastAsia="Times New Roman"/>
          <w:sz w:val="24"/>
          <w:szCs w:val="24"/>
        </w:rPr>
        <w:t>),</w:t>
      </w:r>
      <w:r w:rsidRPr="0062406E">
        <w:rPr>
          <w:rFonts w:eastAsia="Times New Roman"/>
          <w:sz w:val="24"/>
          <w:szCs w:val="24"/>
        </w:rPr>
        <w:t xml:space="preserve"> to undertake activities intended to foster the adoption of bundled payment</w:t>
      </w:r>
      <w:r w:rsidR="00F9385D">
        <w:rPr>
          <w:rFonts w:eastAsia="Times New Roman"/>
          <w:sz w:val="24"/>
          <w:szCs w:val="24"/>
        </w:rPr>
        <w:t>s</w:t>
      </w:r>
      <w:r w:rsidRPr="0062406E">
        <w:rPr>
          <w:rFonts w:eastAsia="Times New Roman"/>
          <w:sz w:val="24"/>
          <w:szCs w:val="24"/>
        </w:rPr>
        <w:t xml:space="preserve"> </w:t>
      </w:r>
      <w:r w:rsidR="00335FCC">
        <w:rPr>
          <w:rFonts w:eastAsia="Times New Roman"/>
          <w:sz w:val="24"/>
          <w:szCs w:val="24"/>
        </w:rPr>
        <w:t>among</w:t>
      </w:r>
      <w:r w:rsidR="00335FCC" w:rsidRPr="0062406E">
        <w:rPr>
          <w:rFonts w:eastAsia="Times New Roman"/>
          <w:sz w:val="24"/>
          <w:szCs w:val="24"/>
        </w:rPr>
        <w:t xml:space="preserve"> </w:t>
      </w:r>
      <w:r w:rsidRPr="0062406E">
        <w:rPr>
          <w:rFonts w:eastAsia="Times New Roman"/>
          <w:sz w:val="24"/>
          <w:szCs w:val="24"/>
        </w:rPr>
        <w:t xml:space="preserve">health care providers and payers in </w:t>
      </w:r>
      <w:r w:rsidR="0018543A">
        <w:rPr>
          <w:rFonts w:eastAsia="Times New Roman"/>
          <w:sz w:val="24"/>
          <w:szCs w:val="24"/>
        </w:rPr>
        <w:t>Massachusetts</w:t>
      </w:r>
      <w:r w:rsidRPr="0062406E">
        <w:rPr>
          <w:rFonts w:eastAsia="Times New Roman"/>
          <w:sz w:val="24"/>
          <w:szCs w:val="24"/>
        </w:rPr>
        <w:t xml:space="preserve">. </w:t>
      </w:r>
    </w:p>
    <w:p w14:paraId="10371C66" w14:textId="77777777" w:rsidR="00DF2A39" w:rsidRDefault="007A79D6" w:rsidP="004B49D9">
      <w:pPr>
        <w:spacing w:before="240"/>
        <w:rPr>
          <w:sz w:val="24"/>
          <w:szCs w:val="24"/>
        </w:rPr>
      </w:pPr>
      <w:r w:rsidRPr="0062406E">
        <w:rPr>
          <w:sz w:val="24"/>
          <w:szCs w:val="24"/>
        </w:rPr>
        <w:t>In</w:t>
      </w:r>
      <w:r w:rsidR="00264B58">
        <w:rPr>
          <w:sz w:val="24"/>
          <w:szCs w:val="24"/>
        </w:rPr>
        <w:t xml:space="preserve"> response to Section 64,</w:t>
      </w:r>
      <w:r w:rsidRPr="0062406E">
        <w:rPr>
          <w:sz w:val="24"/>
          <w:szCs w:val="24"/>
        </w:rPr>
        <w:t xml:space="preserve"> </w:t>
      </w:r>
      <w:r w:rsidR="000D2B46">
        <w:rPr>
          <w:sz w:val="24"/>
          <w:szCs w:val="24"/>
        </w:rPr>
        <w:t>the Division</w:t>
      </w:r>
      <w:r w:rsidR="000D2B46" w:rsidRPr="0062406E">
        <w:rPr>
          <w:sz w:val="24"/>
          <w:szCs w:val="24"/>
        </w:rPr>
        <w:t xml:space="preserve"> </w:t>
      </w:r>
      <w:r w:rsidR="00264B58">
        <w:rPr>
          <w:sz w:val="24"/>
          <w:szCs w:val="24"/>
        </w:rPr>
        <w:t xml:space="preserve">published </w:t>
      </w:r>
      <w:r w:rsidR="000D2B46">
        <w:rPr>
          <w:sz w:val="24"/>
          <w:szCs w:val="24"/>
        </w:rPr>
        <w:t xml:space="preserve">the </w:t>
      </w:r>
      <w:r w:rsidRPr="004B49D9">
        <w:rPr>
          <w:i/>
          <w:sz w:val="24"/>
          <w:szCs w:val="24"/>
        </w:rPr>
        <w:t>Report on Bundled Payments</w:t>
      </w:r>
      <w:r w:rsidR="0072438C">
        <w:rPr>
          <w:i/>
          <w:sz w:val="24"/>
          <w:szCs w:val="24"/>
        </w:rPr>
        <w:t>,</w:t>
      </w:r>
      <w:r w:rsidRPr="004B49D9">
        <w:rPr>
          <w:i/>
          <w:sz w:val="24"/>
          <w:szCs w:val="24"/>
        </w:rPr>
        <w:t xml:space="preserve"> Volume 1</w:t>
      </w:r>
      <w:r w:rsidRPr="0062406E">
        <w:rPr>
          <w:sz w:val="24"/>
          <w:szCs w:val="24"/>
        </w:rPr>
        <w:t>,</w:t>
      </w:r>
      <w:r w:rsidR="00264B58">
        <w:rPr>
          <w:sz w:val="24"/>
          <w:szCs w:val="24"/>
        </w:rPr>
        <w:t xml:space="preserve"> </w:t>
      </w:r>
      <w:r w:rsidR="000D2B46">
        <w:rPr>
          <w:sz w:val="24"/>
          <w:szCs w:val="24"/>
        </w:rPr>
        <w:t xml:space="preserve">an initial report </w:t>
      </w:r>
      <w:r w:rsidR="00145DB5">
        <w:rPr>
          <w:sz w:val="24"/>
          <w:szCs w:val="24"/>
        </w:rPr>
        <w:t xml:space="preserve">that </w:t>
      </w:r>
      <w:r w:rsidR="005A6D57">
        <w:rPr>
          <w:sz w:val="24"/>
          <w:szCs w:val="24"/>
        </w:rPr>
        <w:t>introduc</w:t>
      </w:r>
      <w:r w:rsidR="00145DB5">
        <w:rPr>
          <w:sz w:val="24"/>
          <w:szCs w:val="24"/>
        </w:rPr>
        <w:t>ed</w:t>
      </w:r>
      <w:r w:rsidR="00B119E4">
        <w:rPr>
          <w:sz w:val="24"/>
          <w:szCs w:val="24"/>
        </w:rPr>
        <w:t xml:space="preserve"> </w:t>
      </w:r>
      <w:r w:rsidRPr="0062406E">
        <w:rPr>
          <w:sz w:val="24"/>
          <w:szCs w:val="24"/>
        </w:rPr>
        <w:t xml:space="preserve">the concept of bundled payments </w:t>
      </w:r>
      <w:r w:rsidR="00E654A4" w:rsidRPr="0062406E">
        <w:rPr>
          <w:sz w:val="24"/>
          <w:szCs w:val="24"/>
        </w:rPr>
        <w:t xml:space="preserve">and </w:t>
      </w:r>
      <w:r w:rsidR="00B119E4">
        <w:rPr>
          <w:sz w:val="24"/>
          <w:szCs w:val="24"/>
        </w:rPr>
        <w:t>review</w:t>
      </w:r>
      <w:r w:rsidR="00145DB5">
        <w:rPr>
          <w:sz w:val="24"/>
          <w:szCs w:val="24"/>
        </w:rPr>
        <w:t>ed</w:t>
      </w:r>
      <w:r w:rsidR="00B119E4">
        <w:rPr>
          <w:sz w:val="24"/>
          <w:szCs w:val="24"/>
        </w:rPr>
        <w:t xml:space="preserve"> </w:t>
      </w:r>
      <w:r w:rsidRPr="0062406E">
        <w:rPr>
          <w:sz w:val="24"/>
          <w:szCs w:val="24"/>
        </w:rPr>
        <w:t xml:space="preserve">five bundled payment models. </w:t>
      </w:r>
      <w:r w:rsidR="00DF2A39">
        <w:rPr>
          <w:sz w:val="24"/>
          <w:szCs w:val="24"/>
        </w:rPr>
        <w:t xml:space="preserve">The purpose of this follow-up report is to </w:t>
      </w:r>
      <w:r w:rsidR="00DF2A39" w:rsidRPr="0062406E">
        <w:rPr>
          <w:sz w:val="24"/>
          <w:szCs w:val="24"/>
        </w:rPr>
        <w:t xml:space="preserve">help providers, payers and policymakers gain a better understanding of how bundled payment arrangements </w:t>
      </w:r>
      <w:r w:rsidR="00DF2A39">
        <w:rPr>
          <w:sz w:val="24"/>
          <w:szCs w:val="24"/>
        </w:rPr>
        <w:t>could</w:t>
      </w:r>
      <w:r w:rsidR="00DF2A39" w:rsidRPr="0062406E">
        <w:rPr>
          <w:sz w:val="24"/>
          <w:szCs w:val="24"/>
        </w:rPr>
        <w:t xml:space="preserve"> </w:t>
      </w:r>
      <w:r w:rsidR="00DF2A39">
        <w:rPr>
          <w:sz w:val="24"/>
          <w:szCs w:val="24"/>
        </w:rPr>
        <w:t>work</w:t>
      </w:r>
      <w:r w:rsidR="00DF2A39" w:rsidRPr="0062406E">
        <w:rPr>
          <w:sz w:val="24"/>
          <w:szCs w:val="24"/>
        </w:rPr>
        <w:t xml:space="preserve"> in practice and to illustrate the possible savings </w:t>
      </w:r>
      <w:r w:rsidR="00DF2A39">
        <w:rPr>
          <w:sz w:val="24"/>
          <w:szCs w:val="24"/>
        </w:rPr>
        <w:t>associated with</w:t>
      </w:r>
      <w:r w:rsidR="00DF2A39" w:rsidRPr="0062406E">
        <w:rPr>
          <w:sz w:val="24"/>
          <w:szCs w:val="24"/>
        </w:rPr>
        <w:t xml:space="preserve"> </w:t>
      </w:r>
      <w:r w:rsidR="00DF2A39">
        <w:rPr>
          <w:sz w:val="24"/>
          <w:szCs w:val="24"/>
        </w:rPr>
        <w:t>the use of bundled payments,</w:t>
      </w:r>
      <w:r w:rsidR="00DF2A39" w:rsidRPr="00C1339C">
        <w:rPr>
          <w:rFonts w:eastAsia="Times New Roman"/>
          <w:sz w:val="24"/>
          <w:szCs w:val="24"/>
        </w:rPr>
        <w:t xml:space="preserve"> </w:t>
      </w:r>
      <w:r w:rsidR="00DF2A39">
        <w:rPr>
          <w:rFonts w:eastAsia="Times New Roman"/>
          <w:sz w:val="24"/>
          <w:szCs w:val="24"/>
        </w:rPr>
        <w:t>as compared to traditional fee-for-service payments</w:t>
      </w:r>
      <w:r w:rsidR="00DF2A39">
        <w:rPr>
          <w:sz w:val="24"/>
          <w:szCs w:val="24"/>
        </w:rPr>
        <w:t xml:space="preserve">. </w:t>
      </w:r>
      <w:r w:rsidR="00F04D8E" w:rsidRPr="0062406E">
        <w:rPr>
          <w:sz w:val="24"/>
          <w:szCs w:val="24"/>
        </w:rPr>
        <w:t xml:space="preserve">A bundled payment </w:t>
      </w:r>
      <w:r w:rsidR="00F04D8E">
        <w:rPr>
          <w:sz w:val="24"/>
          <w:szCs w:val="24"/>
        </w:rPr>
        <w:t>was defined as</w:t>
      </w:r>
      <w:r w:rsidR="00F04D8E" w:rsidRPr="0062406E">
        <w:rPr>
          <w:sz w:val="24"/>
          <w:szCs w:val="24"/>
        </w:rPr>
        <w:t xml:space="preserve"> a method of reimbursing a provider, or group of providers, </w:t>
      </w:r>
      <w:r w:rsidR="0072438C">
        <w:rPr>
          <w:sz w:val="24"/>
          <w:szCs w:val="24"/>
        </w:rPr>
        <w:t>with</w:t>
      </w:r>
      <w:r w:rsidR="0072438C" w:rsidRPr="0062406E">
        <w:rPr>
          <w:sz w:val="24"/>
          <w:szCs w:val="24"/>
        </w:rPr>
        <w:t xml:space="preserve"> a single fee or payment </w:t>
      </w:r>
      <w:r w:rsidR="00F04D8E" w:rsidRPr="0062406E">
        <w:rPr>
          <w:sz w:val="24"/>
          <w:szCs w:val="24"/>
        </w:rPr>
        <w:t xml:space="preserve">for the provision of multiple health care services associated with a defined episode of care. </w:t>
      </w:r>
      <w:r w:rsidR="00F04D8E">
        <w:rPr>
          <w:sz w:val="24"/>
          <w:szCs w:val="24"/>
        </w:rPr>
        <w:t xml:space="preserve">The </w:t>
      </w:r>
      <w:r w:rsidR="005A6D57">
        <w:rPr>
          <w:sz w:val="24"/>
          <w:szCs w:val="24"/>
        </w:rPr>
        <w:t>defined episode</w:t>
      </w:r>
      <w:r w:rsidR="0072438C">
        <w:rPr>
          <w:rStyle w:val="FootnoteReference"/>
          <w:sz w:val="24"/>
          <w:szCs w:val="24"/>
        </w:rPr>
        <w:footnoteReference w:id="3"/>
      </w:r>
      <w:r w:rsidR="00F04D8E">
        <w:rPr>
          <w:sz w:val="24"/>
          <w:szCs w:val="24"/>
        </w:rPr>
        <w:t xml:space="preserve"> and the services included, </w:t>
      </w:r>
      <w:r w:rsidR="005A6D57">
        <w:rPr>
          <w:sz w:val="24"/>
          <w:szCs w:val="24"/>
        </w:rPr>
        <w:t>was</w:t>
      </w:r>
      <w:r w:rsidR="00F04D8E">
        <w:rPr>
          <w:sz w:val="24"/>
          <w:szCs w:val="24"/>
        </w:rPr>
        <w:t xml:space="preserve"> developed based on clinical guidelines and </w:t>
      </w:r>
      <w:r w:rsidR="0072438C">
        <w:rPr>
          <w:sz w:val="24"/>
          <w:szCs w:val="24"/>
        </w:rPr>
        <w:t xml:space="preserve">in </w:t>
      </w:r>
      <w:r w:rsidR="00F04D8E">
        <w:rPr>
          <w:sz w:val="24"/>
          <w:szCs w:val="24"/>
        </w:rPr>
        <w:t>consultation with clinical experts.</w:t>
      </w:r>
      <w:r w:rsidR="00F04D8E" w:rsidRPr="0062406E">
        <w:rPr>
          <w:sz w:val="24"/>
          <w:szCs w:val="24"/>
        </w:rPr>
        <w:t xml:space="preserve"> All five bundled payment models discussed in </w:t>
      </w:r>
      <w:r w:rsidR="004B49D9" w:rsidRPr="004B49D9">
        <w:rPr>
          <w:i/>
          <w:sz w:val="24"/>
          <w:szCs w:val="24"/>
        </w:rPr>
        <w:t>Bundled Payments,</w:t>
      </w:r>
      <w:r w:rsidR="004B49D9">
        <w:rPr>
          <w:sz w:val="24"/>
          <w:szCs w:val="24"/>
        </w:rPr>
        <w:t xml:space="preserve"> </w:t>
      </w:r>
      <w:r w:rsidR="00F04D8E" w:rsidRPr="004B49D9">
        <w:rPr>
          <w:i/>
          <w:sz w:val="24"/>
          <w:szCs w:val="24"/>
        </w:rPr>
        <w:t>Volume 1</w:t>
      </w:r>
      <w:r w:rsidR="0021549C">
        <w:rPr>
          <w:sz w:val="24"/>
          <w:szCs w:val="24"/>
        </w:rPr>
        <w:t xml:space="preserve"> we</w:t>
      </w:r>
      <w:r w:rsidR="00F04D8E" w:rsidRPr="0062406E">
        <w:rPr>
          <w:sz w:val="24"/>
          <w:szCs w:val="24"/>
        </w:rPr>
        <w:t xml:space="preserve">re designed to contain costs and improve quality for a defined episode of care by </w:t>
      </w:r>
      <w:r w:rsidR="00F04D8E">
        <w:rPr>
          <w:sz w:val="24"/>
          <w:szCs w:val="24"/>
        </w:rPr>
        <w:t xml:space="preserve">including </w:t>
      </w:r>
      <w:r w:rsidR="00145DB5">
        <w:rPr>
          <w:sz w:val="24"/>
          <w:szCs w:val="24"/>
        </w:rPr>
        <w:t>financial</w:t>
      </w:r>
      <w:r w:rsidR="00F04D8E">
        <w:rPr>
          <w:sz w:val="24"/>
          <w:szCs w:val="24"/>
        </w:rPr>
        <w:t xml:space="preserve"> incentives </w:t>
      </w:r>
      <w:r w:rsidR="005A6D57">
        <w:rPr>
          <w:sz w:val="24"/>
          <w:szCs w:val="24"/>
        </w:rPr>
        <w:t>to increase the efficiency of</w:t>
      </w:r>
      <w:r w:rsidR="00771157">
        <w:rPr>
          <w:sz w:val="24"/>
          <w:szCs w:val="24"/>
        </w:rPr>
        <w:t xml:space="preserve"> </w:t>
      </w:r>
      <w:r w:rsidR="005A6D57">
        <w:rPr>
          <w:sz w:val="24"/>
          <w:szCs w:val="24"/>
        </w:rPr>
        <w:t>service</w:t>
      </w:r>
      <w:r w:rsidR="00F04D8E" w:rsidRPr="0062406E">
        <w:rPr>
          <w:sz w:val="24"/>
          <w:szCs w:val="24"/>
        </w:rPr>
        <w:t xml:space="preserve"> delivery and coordination of care.</w:t>
      </w:r>
      <w:r w:rsidR="004F0190">
        <w:rPr>
          <w:sz w:val="24"/>
          <w:szCs w:val="24"/>
        </w:rPr>
        <w:t xml:space="preserve"> </w:t>
      </w:r>
    </w:p>
    <w:p w14:paraId="2D492CE1" w14:textId="77777777" w:rsidR="00F04D8E" w:rsidRDefault="004F0190" w:rsidP="004B49D9">
      <w:pPr>
        <w:spacing w:before="240"/>
        <w:rPr>
          <w:sz w:val="24"/>
          <w:szCs w:val="24"/>
        </w:rPr>
      </w:pPr>
      <w:r w:rsidRPr="0062406E">
        <w:rPr>
          <w:sz w:val="24"/>
          <w:szCs w:val="24"/>
        </w:rPr>
        <w:t>The Prometheus Payment Model</w:t>
      </w:r>
      <w:r w:rsidR="0072438C">
        <w:rPr>
          <w:sz w:val="24"/>
          <w:szCs w:val="24"/>
        </w:rPr>
        <w:t xml:space="preserve"> </w:t>
      </w:r>
      <w:r w:rsidR="00DF2A39">
        <w:rPr>
          <w:sz w:val="24"/>
          <w:szCs w:val="24"/>
        </w:rPr>
        <w:t xml:space="preserve">was described in the Division’s </w:t>
      </w:r>
      <w:r w:rsidR="00DF2A39" w:rsidRPr="00A47567">
        <w:rPr>
          <w:i/>
          <w:sz w:val="24"/>
          <w:szCs w:val="24"/>
        </w:rPr>
        <w:t>Bundled Payments, Volume 1</w:t>
      </w:r>
      <w:r w:rsidR="00DF2A39">
        <w:rPr>
          <w:i/>
          <w:sz w:val="24"/>
          <w:szCs w:val="24"/>
        </w:rPr>
        <w:t xml:space="preserve">. </w:t>
      </w:r>
      <w:r w:rsidR="00DF2A39" w:rsidRPr="00DF2A39">
        <w:rPr>
          <w:sz w:val="24"/>
          <w:szCs w:val="24"/>
        </w:rPr>
        <w:t>It</w:t>
      </w:r>
      <w:r w:rsidR="00DF2A39">
        <w:rPr>
          <w:sz w:val="24"/>
          <w:szCs w:val="24"/>
        </w:rPr>
        <w:t xml:space="preserve"> </w:t>
      </w:r>
      <w:r>
        <w:rPr>
          <w:rFonts w:eastAsia="Times New Roman"/>
          <w:sz w:val="24"/>
          <w:szCs w:val="24"/>
        </w:rPr>
        <w:t>is</w:t>
      </w:r>
      <w:r w:rsidRPr="0062406E">
        <w:rPr>
          <w:rFonts w:eastAsia="Times New Roman"/>
          <w:sz w:val="24"/>
          <w:szCs w:val="24"/>
        </w:rPr>
        <w:t xml:space="preserve"> </w:t>
      </w:r>
      <w:r w:rsidR="0072438C">
        <w:rPr>
          <w:rFonts w:eastAsia="Times New Roman"/>
          <w:sz w:val="24"/>
          <w:szCs w:val="24"/>
        </w:rPr>
        <w:t>used</w:t>
      </w:r>
      <w:r>
        <w:rPr>
          <w:rFonts w:eastAsia="Times New Roman"/>
          <w:sz w:val="24"/>
          <w:szCs w:val="24"/>
        </w:rPr>
        <w:t xml:space="preserve"> in this analysis </w:t>
      </w:r>
      <w:r w:rsidRPr="0062406E">
        <w:rPr>
          <w:rFonts w:eastAsia="Times New Roman"/>
          <w:sz w:val="24"/>
          <w:szCs w:val="24"/>
        </w:rPr>
        <w:t xml:space="preserve">to simulate </w:t>
      </w:r>
      <w:r>
        <w:rPr>
          <w:rFonts w:eastAsia="Times New Roman"/>
          <w:sz w:val="24"/>
          <w:szCs w:val="24"/>
        </w:rPr>
        <w:t xml:space="preserve">a </w:t>
      </w:r>
      <w:r w:rsidRPr="0062406E">
        <w:rPr>
          <w:rFonts w:eastAsia="Times New Roman"/>
          <w:sz w:val="24"/>
          <w:szCs w:val="24"/>
        </w:rPr>
        <w:t>payment bundling</w:t>
      </w:r>
      <w:r>
        <w:rPr>
          <w:rFonts w:eastAsia="Times New Roman"/>
          <w:sz w:val="24"/>
          <w:szCs w:val="24"/>
        </w:rPr>
        <w:t xml:space="preserve"> scenario in the Commonwealth.</w:t>
      </w:r>
      <w:r>
        <w:rPr>
          <w:sz w:val="24"/>
          <w:szCs w:val="24"/>
        </w:rPr>
        <w:t xml:space="preserve"> </w:t>
      </w:r>
      <w:r w:rsidR="0072438C">
        <w:rPr>
          <w:sz w:val="24"/>
          <w:szCs w:val="24"/>
        </w:rPr>
        <w:t>Its use</w:t>
      </w:r>
      <w:r w:rsidRPr="0062406E">
        <w:rPr>
          <w:sz w:val="24"/>
          <w:szCs w:val="24"/>
        </w:rPr>
        <w:t xml:space="preserve"> in this report </w:t>
      </w:r>
      <w:r>
        <w:rPr>
          <w:sz w:val="24"/>
          <w:szCs w:val="24"/>
        </w:rPr>
        <w:t>does</w:t>
      </w:r>
      <w:r w:rsidRPr="0062406E">
        <w:rPr>
          <w:sz w:val="24"/>
          <w:szCs w:val="24"/>
        </w:rPr>
        <w:t xml:space="preserve"> not serve as </w:t>
      </w:r>
      <w:r>
        <w:rPr>
          <w:sz w:val="24"/>
          <w:szCs w:val="24"/>
        </w:rPr>
        <w:t>an</w:t>
      </w:r>
      <w:r w:rsidRPr="0062406E">
        <w:rPr>
          <w:sz w:val="24"/>
          <w:szCs w:val="24"/>
        </w:rPr>
        <w:t xml:space="preserve"> endorsement </w:t>
      </w:r>
      <w:r>
        <w:rPr>
          <w:sz w:val="24"/>
          <w:szCs w:val="24"/>
        </w:rPr>
        <w:t>of the Prometheus Payment Model; it is used only as an example of how bundled payment arrangements can operate, and to illustrate how savings may accrue when provider risk-sharing is incorporated into payment arrangements.</w:t>
      </w:r>
    </w:p>
    <w:p w14:paraId="6B4B7393" w14:textId="77777777" w:rsidR="001D0382" w:rsidRDefault="001D0382">
      <w:pPr>
        <w:rPr>
          <w:rFonts w:eastAsia="Times New Roman"/>
          <w:sz w:val="24"/>
          <w:szCs w:val="24"/>
        </w:rPr>
      </w:pPr>
      <w:r>
        <w:rPr>
          <w:rFonts w:eastAsia="Times New Roman"/>
          <w:sz w:val="24"/>
          <w:szCs w:val="24"/>
        </w:rPr>
        <w:br w:type="page"/>
      </w:r>
    </w:p>
    <w:p w14:paraId="489DC550" w14:textId="77777777" w:rsidR="00412A3D" w:rsidRPr="00257F70" w:rsidRDefault="00D45C36" w:rsidP="005828B0">
      <w:pPr>
        <w:rPr>
          <w:b/>
          <w:sz w:val="32"/>
          <w:szCs w:val="32"/>
        </w:rPr>
      </w:pPr>
      <w:r w:rsidRPr="00257F70">
        <w:rPr>
          <w:b/>
          <w:sz w:val="32"/>
          <w:szCs w:val="32"/>
        </w:rPr>
        <w:lastRenderedPageBreak/>
        <w:t xml:space="preserve">2. </w:t>
      </w:r>
      <w:r w:rsidR="00857454" w:rsidRPr="00257F70">
        <w:rPr>
          <w:b/>
          <w:sz w:val="32"/>
          <w:szCs w:val="32"/>
        </w:rPr>
        <w:t xml:space="preserve">The </w:t>
      </w:r>
      <w:r w:rsidR="004D5CE0" w:rsidRPr="00257F70">
        <w:rPr>
          <w:b/>
          <w:sz w:val="32"/>
          <w:szCs w:val="32"/>
        </w:rPr>
        <w:t>Prometheus Payment Model</w:t>
      </w:r>
      <w:r w:rsidR="00F1573E" w:rsidRPr="00257F70">
        <w:rPr>
          <w:b/>
          <w:sz w:val="32"/>
          <w:szCs w:val="32"/>
        </w:rPr>
        <w:t xml:space="preserve"> </w:t>
      </w:r>
    </w:p>
    <w:p w14:paraId="67A77217" w14:textId="77777777" w:rsidR="00CB58E2" w:rsidRDefault="004D5CE0" w:rsidP="005828B0">
      <w:pPr>
        <w:rPr>
          <w:rFonts w:eastAsia="Times New Roman"/>
          <w:sz w:val="24"/>
          <w:szCs w:val="24"/>
        </w:rPr>
      </w:pPr>
      <w:r w:rsidRPr="0062406E">
        <w:rPr>
          <w:color w:val="231F20"/>
          <w:sz w:val="24"/>
          <w:szCs w:val="24"/>
        </w:rPr>
        <w:t xml:space="preserve">The </w:t>
      </w:r>
      <w:r w:rsidR="0072438C">
        <w:rPr>
          <w:color w:val="231F20"/>
          <w:sz w:val="24"/>
          <w:szCs w:val="24"/>
        </w:rPr>
        <w:t xml:space="preserve">publically available </w:t>
      </w:r>
      <w:r w:rsidRPr="0062406E">
        <w:rPr>
          <w:color w:val="231F20"/>
          <w:sz w:val="24"/>
          <w:szCs w:val="24"/>
        </w:rPr>
        <w:t xml:space="preserve">Prometheus Payment Model was </w:t>
      </w:r>
      <w:r w:rsidR="007459DB" w:rsidRPr="0062406E">
        <w:rPr>
          <w:color w:val="231F20"/>
          <w:sz w:val="24"/>
          <w:szCs w:val="24"/>
        </w:rPr>
        <w:t>designed</w:t>
      </w:r>
      <w:r w:rsidRPr="0062406E">
        <w:rPr>
          <w:color w:val="231F20"/>
          <w:sz w:val="24"/>
          <w:szCs w:val="24"/>
        </w:rPr>
        <w:t xml:space="preserve"> </w:t>
      </w:r>
      <w:r w:rsidR="007459DB" w:rsidRPr="0062406E">
        <w:rPr>
          <w:color w:val="231F20"/>
          <w:sz w:val="24"/>
          <w:szCs w:val="24"/>
        </w:rPr>
        <w:t xml:space="preserve">and has been managed and implemented </w:t>
      </w:r>
      <w:r w:rsidRPr="0062406E">
        <w:rPr>
          <w:color w:val="231F20"/>
          <w:sz w:val="24"/>
          <w:szCs w:val="24"/>
        </w:rPr>
        <w:t xml:space="preserve">by </w:t>
      </w:r>
      <w:r w:rsidR="002F4CDC">
        <w:rPr>
          <w:color w:val="231F20"/>
          <w:sz w:val="24"/>
          <w:szCs w:val="24"/>
        </w:rPr>
        <w:t xml:space="preserve">the </w:t>
      </w:r>
      <w:r w:rsidRPr="0062406E">
        <w:rPr>
          <w:color w:val="231F20"/>
          <w:sz w:val="24"/>
          <w:szCs w:val="24"/>
        </w:rPr>
        <w:t>Health Care Incentives Improvement Institute</w:t>
      </w:r>
      <w:r w:rsidR="0072438C">
        <w:rPr>
          <w:color w:val="231F20"/>
          <w:sz w:val="24"/>
          <w:szCs w:val="24"/>
        </w:rPr>
        <w:t xml:space="preserve">, </w:t>
      </w:r>
      <w:r w:rsidR="007459DB" w:rsidRPr="0062406E">
        <w:rPr>
          <w:sz w:val="24"/>
          <w:szCs w:val="24"/>
        </w:rPr>
        <w:t>supported by grants from the Robert Wood Johnson Foundation</w:t>
      </w:r>
      <w:r w:rsidR="00B119E4">
        <w:rPr>
          <w:sz w:val="24"/>
          <w:szCs w:val="24"/>
        </w:rPr>
        <w:t xml:space="preserve"> and</w:t>
      </w:r>
      <w:r w:rsidR="00B119E4" w:rsidRPr="0062406E">
        <w:rPr>
          <w:sz w:val="24"/>
          <w:szCs w:val="24"/>
        </w:rPr>
        <w:t xml:space="preserve"> </w:t>
      </w:r>
      <w:r w:rsidR="007459DB" w:rsidRPr="0062406E">
        <w:rPr>
          <w:sz w:val="24"/>
          <w:szCs w:val="24"/>
        </w:rPr>
        <w:t>the Commonwealth Fund.</w:t>
      </w:r>
      <w:r w:rsidR="00C11F4A">
        <w:rPr>
          <w:rStyle w:val="Strong"/>
          <w:sz w:val="24"/>
          <w:szCs w:val="24"/>
        </w:rPr>
        <w:t xml:space="preserve"> </w:t>
      </w:r>
      <w:r w:rsidR="0072438C">
        <w:rPr>
          <w:sz w:val="24"/>
          <w:szCs w:val="24"/>
        </w:rPr>
        <w:t xml:space="preserve">The model </w:t>
      </w:r>
      <w:r w:rsidR="002F4CDC">
        <w:rPr>
          <w:sz w:val="24"/>
          <w:szCs w:val="24"/>
        </w:rPr>
        <w:t>was designed</w:t>
      </w:r>
      <w:r w:rsidR="002F4CDC" w:rsidRPr="0062406E">
        <w:rPr>
          <w:sz w:val="24"/>
          <w:szCs w:val="24"/>
        </w:rPr>
        <w:t xml:space="preserve"> </w:t>
      </w:r>
      <w:r w:rsidRPr="0062406E">
        <w:rPr>
          <w:sz w:val="24"/>
          <w:szCs w:val="24"/>
        </w:rPr>
        <w:t xml:space="preserve">to improve quality, lower administrative burden, and pay providers based on best practices </w:t>
      </w:r>
      <w:r w:rsidR="003945A5">
        <w:rPr>
          <w:sz w:val="24"/>
          <w:szCs w:val="24"/>
        </w:rPr>
        <w:t>and</w:t>
      </w:r>
      <w:r w:rsidRPr="0062406E">
        <w:rPr>
          <w:sz w:val="24"/>
          <w:szCs w:val="24"/>
        </w:rPr>
        <w:t xml:space="preserve"> clinical guidelines for treating patients</w:t>
      </w:r>
      <w:r w:rsidR="00154706">
        <w:rPr>
          <w:sz w:val="24"/>
          <w:szCs w:val="24"/>
        </w:rPr>
        <w:t>. It bundles payments</w:t>
      </w:r>
      <w:r w:rsidRPr="0062406E">
        <w:rPr>
          <w:sz w:val="24"/>
          <w:szCs w:val="24"/>
        </w:rPr>
        <w:t xml:space="preserve"> </w:t>
      </w:r>
      <w:r w:rsidR="00154706">
        <w:rPr>
          <w:sz w:val="24"/>
          <w:szCs w:val="24"/>
        </w:rPr>
        <w:t>for all patient services related to</w:t>
      </w:r>
      <w:r w:rsidR="00154706" w:rsidRPr="0062406E">
        <w:rPr>
          <w:sz w:val="24"/>
          <w:szCs w:val="24"/>
        </w:rPr>
        <w:t xml:space="preserve"> </w:t>
      </w:r>
      <w:r w:rsidR="00154706">
        <w:rPr>
          <w:sz w:val="24"/>
          <w:szCs w:val="24"/>
        </w:rPr>
        <w:t xml:space="preserve">a </w:t>
      </w:r>
      <w:r w:rsidRPr="0062406E">
        <w:rPr>
          <w:sz w:val="24"/>
          <w:szCs w:val="24"/>
        </w:rPr>
        <w:t>specific condition</w:t>
      </w:r>
      <w:r w:rsidR="00154706">
        <w:rPr>
          <w:sz w:val="24"/>
          <w:szCs w:val="24"/>
        </w:rPr>
        <w:t xml:space="preserve"> or procedure</w:t>
      </w:r>
      <w:r w:rsidRPr="0062406E">
        <w:rPr>
          <w:rFonts w:eastAsia="Times New Roman"/>
          <w:sz w:val="24"/>
          <w:szCs w:val="24"/>
        </w:rPr>
        <w:t>.</w:t>
      </w:r>
      <w:r w:rsidRPr="0062406E">
        <w:rPr>
          <w:rStyle w:val="FootnoteReference"/>
          <w:rFonts w:eastAsia="Times New Roman"/>
          <w:sz w:val="24"/>
          <w:szCs w:val="24"/>
        </w:rPr>
        <w:footnoteReference w:id="4"/>
      </w:r>
      <w:r w:rsidRPr="0062406E">
        <w:rPr>
          <w:rFonts w:eastAsia="Times New Roman"/>
          <w:sz w:val="24"/>
          <w:szCs w:val="24"/>
        </w:rPr>
        <w:t xml:space="preserve"> </w:t>
      </w:r>
    </w:p>
    <w:p w14:paraId="1DD0C901" w14:textId="77777777" w:rsidR="008F557D" w:rsidRPr="0062406E" w:rsidRDefault="008F557D" w:rsidP="005828B0">
      <w:pPr>
        <w:rPr>
          <w:rFonts w:eastAsia="Times New Roman"/>
          <w:sz w:val="24"/>
          <w:szCs w:val="24"/>
        </w:rPr>
      </w:pPr>
      <w:r w:rsidRPr="0062406E">
        <w:rPr>
          <w:rFonts w:eastAsia="Times New Roman"/>
          <w:sz w:val="24"/>
          <w:szCs w:val="24"/>
        </w:rPr>
        <w:t xml:space="preserve">To </w:t>
      </w:r>
      <w:r w:rsidR="00CB58E2">
        <w:rPr>
          <w:rFonts w:eastAsia="Times New Roman"/>
          <w:sz w:val="24"/>
          <w:szCs w:val="24"/>
        </w:rPr>
        <w:t>account for</w:t>
      </w:r>
      <w:r w:rsidRPr="0062406E">
        <w:rPr>
          <w:rFonts w:eastAsia="Times New Roman"/>
          <w:sz w:val="24"/>
          <w:szCs w:val="24"/>
        </w:rPr>
        <w:t xml:space="preserve"> the </w:t>
      </w:r>
      <w:r w:rsidR="00CB58E2">
        <w:rPr>
          <w:rFonts w:eastAsia="Times New Roman"/>
          <w:sz w:val="24"/>
          <w:szCs w:val="24"/>
        </w:rPr>
        <w:t xml:space="preserve">potential, but unknown, </w:t>
      </w:r>
      <w:r w:rsidRPr="0062406E">
        <w:rPr>
          <w:rFonts w:eastAsia="Times New Roman"/>
          <w:sz w:val="24"/>
          <w:szCs w:val="24"/>
        </w:rPr>
        <w:t xml:space="preserve">costs of a specific episode, the Prometheus Payment Model </w:t>
      </w:r>
      <w:r w:rsidR="003945A5">
        <w:rPr>
          <w:rFonts w:eastAsia="Times New Roman"/>
          <w:sz w:val="24"/>
          <w:szCs w:val="24"/>
        </w:rPr>
        <w:t>defines</w:t>
      </w:r>
      <w:r w:rsidR="00857454" w:rsidRPr="0062406E">
        <w:rPr>
          <w:rFonts w:eastAsia="Times New Roman"/>
          <w:sz w:val="24"/>
          <w:szCs w:val="24"/>
        </w:rPr>
        <w:t xml:space="preserve"> </w:t>
      </w:r>
      <w:r w:rsidR="00154706">
        <w:rPr>
          <w:rFonts w:eastAsia="Times New Roman"/>
          <w:sz w:val="24"/>
          <w:szCs w:val="24"/>
        </w:rPr>
        <w:t xml:space="preserve">and accounts for </w:t>
      </w:r>
      <w:r w:rsidRPr="0062406E">
        <w:rPr>
          <w:rFonts w:eastAsia="Times New Roman"/>
          <w:sz w:val="24"/>
          <w:szCs w:val="24"/>
        </w:rPr>
        <w:t>two types of risk:</w:t>
      </w:r>
    </w:p>
    <w:p w14:paraId="6DBBED5F" w14:textId="77777777" w:rsidR="008F557D" w:rsidRPr="0062406E" w:rsidRDefault="008F557D" w:rsidP="005828B0">
      <w:pPr>
        <w:tabs>
          <w:tab w:val="left" w:pos="0"/>
        </w:tabs>
        <w:spacing w:before="240"/>
        <w:ind w:left="720"/>
        <w:rPr>
          <w:rFonts w:eastAsia="Times New Roman"/>
          <w:sz w:val="24"/>
          <w:szCs w:val="24"/>
        </w:rPr>
      </w:pPr>
      <w:r w:rsidRPr="0062406E">
        <w:rPr>
          <w:rFonts w:eastAsia="Times New Roman"/>
          <w:sz w:val="24"/>
          <w:szCs w:val="24"/>
        </w:rPr>
        <w:t xml:space="preserve">(1) </w:t>
      </w:r>
      <w:r w:rsidRPr="0062406E">
        <w:rPr>
          <w:rFonts w:eastAsia="Times New Roman"/>
          <w:i/>
          <w:sz w:val="24"/>
          <w:szCs w:val="24"/>
        </w:rPr>
        <w:t>Probability risk</w:t>
      </w:r>
      <w:r w:rsidRPr="0062406E">
        <w:rPr>
          <w:rFonts w:eastAsia="Times New Roman"/>
          <w:sz w:val="24"/>
          <w:szCs w:val="24"/>
        </w:rPr>
        <w:t xml:space="preserve">, the fundamental form of insurance risk, </w:t>
      </w:r>
      <w:r w:rsidR="00CB58E2">
        <w:rPr>
          <w:rFonts w:eastAsia="Times New Roman"/>
          <w:sz w:val="24"/>
          <w:szCs w:val="24"/>
        </w:rPr>
        <w:t xml:space="preserve">which </w:t>
      </w:r>
      <w:r w:rsidR="00154706">
        <w:rPr>
          <w:rFonts w:eastAsia="Times New Roman"/>
          <w:sz w:val="24"/>
          <w:szCs w:val="24"/>
        </w:rPr>
        <w:t>includes</w:t>
      </w:r>
      <w:r w:rsidRPr="0062406E">
        <w:rPr>
          <w:rFonts w:eastAsia="Times New Roman"/>
          <w:sz w:val="24"/>
          <w:szCs w:val="24"/>
        </w:rPr>
        <w:t xml:space="preserve"> the likelihood of a patient complication as a result of his/her genes, health status, </w:t>
      </w:r>
      <w:r w:rsidR="00CB58E2">
        <w:rPr>
          <w:rFonts w:eastAsia="Times New Roman"/>
          <w:sz w:val="24"/>
          <w:szCs w:val="24"/>
        </w:rPr>
        <w:t>or</w:t>
      </w:r>
      <w:r w:rsidRPr="0062406E">
        <w:rPr>
          <w:rFonts w:eastAsia="Times New Roman"/>
          <w:sz w:val="24"/>
          <w:szCs w:val="24"/>
        </w:rPr>
        <w:t xml:space="preserve"> any external event outside </w:t>
      </w:r>
      <w:r w:rsidR="00154706">
        <w:rPr>
          <w:rFonts w:eastAsia="Times New Roman"/>
          <w:sz w:val="24"/>
          <w:szCs w:val="24"/>
        </w:rPr>
        <w:t>a</w:t>
      </w:r>
      <w:r w:rsidR="00154706" w:rsidRPr="0062406E">
        <w:rPr>
          <w:rFonts w:eastAsia="Times New Roman"/>
          <w:sz w:val="24"/>
          <w:szCs w:val="24"/>
        </w:rPr>
        <w:t xml:space="preserve"> </w:t>
      </w:r>
      <w:r w:rsidRPr="0062406E">
        <w:rPr>
          <w:rFonts w:eastAsia="Times New Roman"/>
          <w:sz w:val="24"/>
          <w:szCs w:val="24"/>
        </w:rPr>
        <w:t>provider's control</w:t>
      </w:r>
      <w:r w:rsidR="00857454">
        <w:rPr>
          <w:rFonts w:eastAsia="Times New Roman"/>
          <w:sz w:val="24"/>
          <w:szCs w:val="24"/>
        </w:rPr>
        <w:t>; and</w:t>
      </w:r>
    </w:p>
    <w:p w14:paraId="5D8E56B0" w14:textId="77777777" w:rsidR="008F557D" w:rsidRPr="0062406E" w:rsidRDefault="008F557D" w:rsidP="005828B0">
      <w:pPr>
        <w:tabs>
          <w:tab w:val="left" w:pos="0"/>
        </w:tabs>
        <w:spacing w:before="240"/>
        <w:ind w:left="720"/>
        <w:rPr>
          <w:rFonts w:eastAsia="Times New Roman"/>
          <w:sz w:val="24"/>
          <w:szCs w:val="24"/>
        </w:rPr>
      </w:pPr>
      <w:r w:rsidRPr="0062406E">
        <w:rPr>
          <w:rFonts w:eastAsia="Times New Roman"/>
          <w:sz w:val="24"/>
          <w:szCs w:val="24"/>
        </w:rPr>
        <w:t>(2)</w:t>
      </w:r>
      <w:r w:rsidR="000254BA" w:rsidRPr="0062406E">
        <w:rPr>
          <w:rFonts w:eastAsia="Times New Roman"/>
          <w:sz w:val="24"/>
          <w:szCs w:val="24"/>
        </w:rPr>
        <w:t xml:space="preserve"> </w:t>
      </w:r>
      <w:r w:rsidRPr="0062406E">
        <w:rPr>
          <w:rFonts w:eastAsia="Times New Roman"/>
          <w:i/>
          <w:sz w:val="24"/>
          <w:szCs w:val="24"/>
        </w:rPr>
        <w:t>Technical risk</w:t>
      </w:r>
      <w:r w:rsidR="00CB58E2">
        <w:rPr>
          <w:rFonts w:eastAsia="Times New Roman"/>
          <w:i/>
          <w:sz w:val="24"/>
          <w:szCs w:val="24"/>
        </w:rPr>
        <w:t>,</w:t>
      </w:r>
      <w:r w:rsidRPr="0062406E">
        <w:rPr>
          <w:rFonts w:eastAsia="Times New Roman"/>
          <w:sz w:val="24"/>
          <w:szCs w:val="24"/>
        </w:rPr>
        <w:t xml:space="preserve"> </w:t>
      </w:r>
      <w:r w:rsidR="00203937">
        <w:rPr>
          <w:rFonts w:eastAsia="Times New Roman"/>
          <w:sz w:val="24"/>
          <w:szCs w:val="24"/>
        </w:rPr>
        <w:t>the</w:t>
      </w:r>
      <w:r w:rsidR="00203937" w:rsidRPr="0062406E">
        <w:rPr>
          <w:rFonts w:eastAsia="Times New Roman"/>
          <w:sz w:val="24"/>
          <w:szCs w:val="24"/>
        </w:rPr>
        <w:t xml:space="preserve"> </w:t>
      </w:r>
      <w:r w:rsidRPr="0062406E">
        <w:rPr>
          <w:rFonts w:eastAsia="Times New Roman"/>
          <w:sz w:val="24"/>
          <w:szCs w:val="24"/>
        </w:rPr>
        <w:t>risk within a provider's control</w:t>
      </w:r>
      <w:r w:rsidR="00154706">
        <w:rPr>
          <w:rFonts w:eastAsia="Times New Roman"/>
          <w:sz w:val="24"/>
          <w:szCs w:val="24"/>
        </w:rPr>
        <w:t xml:space="preserve">, including </w:t>
      </w:r>
      <w:r w:rsidRPr="0062406E">
        <w:rPr>
          <w:rFonts w:eastAsia="Times New Roman"/>
          <w:sz w:val="24"/>
          <w:szCs w:val="24"/>
        </w:rPr>
        <w:t>potentially avoidable complications (PACs) and other variations</w:t>
      </w:r>
      <w:r w:rsidR="00BF3A0D" w:rsidRPr="0062406E">
        <w:rPr>
          <w:rFonts w:eastAsia="Times New Roman"/>
          <w:sz w:val="24"/>
          <w:szCs w:val="24"/>
        </w:rPr>
        <w:t xml:space="preserve"> such as a provider’s practice pattern</w:t>
      </w:r>
      <w:r w:rsidR="00203937">
        <w:rPr>
          <w:rFonts w:eastAsia="Times New Roman"/>
          <w:sz w:val="24"/>
          <w:szCs w:val="24"/>
        </w:rPr>
        <w:t>s</w:t>
      </w:r>
      <w:r w:rsidRPr="0062406E">
        <w:rPr>
          <w:rFonts w:eastAsia="Times New Roman"/>
          <w:sz w:val="24"/>
          <w:szCs w:val="24"/>
        </w:rPr>
        <w:t xml:space="preserve">. PACs </w:t>
      </w:r>
      <w:r w:rsidR="00903181" w:rsidRPr="0062406E">
        <w:rPr>
          <w:rFonts w:eastAsia="Times New Roman"/>
          <w:sz w:val="24"/>
          <w:szCs w:val="24"/>
        </w:rPr>
        <w:t>indicate</w:t>
      </w:r>
      <w:r w:rsidRPr="0062406E">
        <w:rPr>
          <w:rFonts w:eastAsia="Times New Roman"/>
          <w:sz w:val="24"/>
          <w:szCs w:val="24"/>
        </w:rPr>
        <w:t xml:space="preserve"> deficiencies in care that </w:t>
      </w:r>
      <w:r w:rsidR="00903181" w:rsidRPr="0062406E">
        <w:rPr>
          <w:rFonts w:eastAsia="Times New Roman"/>
          <w:sz w:val="24"/>
          <w:szCs w:val="24"/>
        </w:rPr>
        <w:t xml:space="preserve">can </w:t>
      </w:r>
      <w:r w:rsidRPr="0062406E">
        <w:rPr>
          <w:rFonts w:eastAsia="Times New Roman"/>
          <w:sz w:val="24"/>
          <w:szCs w:val="24"/>
        </w:rPr>
        <w:t xml:space="preserve">cause harm to the patient and </w:t>
      </w:r>
      <w:r w:rsidR="00A9498D">
        <w:rPr>
          <w:rFonts w:eastAsia="Times New Roman"/>
          <w:sz w:val="24"/>
          <w:szCs w:val="24"/>
        </w:rPr>
        <w:t xml:space="preserve">that </w:t>
      </w:r>
      <w:r w:rsidR="00CB58E2">
        <w:rPr>
          <w:rFonts w:eastAsia="Times New Roman"/>
          <w:sz w:val="24"/>
          <w:szCs w:val="24"/>
        </w:rPr>
        <w:t>could</w:t>
      </w:r>
      <w:r w:rsidRPr="0062406E">
        <w:rPr>
          <w:rFonts w:eastAsia="Times New Roman"/>
          <w:sz w:val="24"/>
          <w:szCs w:val="24"/>
        </w:rPr>
        <w:t xml:space="preserve"> have been pr</w:t>
      </w:r>
      <w:r w:rsidR="00BF3A0D" w:rsidRPr="0062406E">
        <w:rPr>
          <w:rFonts w:eastAsia="Times New Roman"/>
          <w:sz w:val="24"/>
          <w:szCs w:val="24"/>
        </w:rPr>
        <w:t xml:space="preserve">evented with adequate </w:t>
      </w:r>
      <w:r w:rsidRPr="0062406E">
        <w:rPr>
          <w:rFonts w:eastAsia="Times New Roman"/>
          <w:sz w:val="24"/>
          <w:szCs w:val="24"/>
        </w:rPr>
        <w:t>treatment</w:t>
      </w:r>
      <w:r w:rsidR="00CB58E2">
        <w:rPr>
          <w:rFonts w:eastAsia="Times New Roman"/>
          <w:sz w:val="24"/>
          <w:szCs w:val="24"/>
        </w:rPr>
        <w:t xml:space="preserve">, coordination </w:t>
      </w:r>
      <w:r w:rsidR="003945A5">
        <w:rPr>
          <w:rFonts w:eastAsia="Times New Roman"/>
          <w:sz w:val="24"/>
          <w:szCs w:val="24"/>
        </w:rPr>
        <w:t>and/</w:t>
      </w:r>
      <w:r w:rsidR="00CB58E2">
        <w:rPr>
          <w:rFonts w:eastAsia="Times New Roman"/>
          <w:sz w:val="24"/>
          <w:szCs w:val="24"/>
        </w:rPr>
        <w:t>or</w:t>
      </w:r>
      <w:r w:rsidR="00BF3A0D" w:rsidRPr="0062406E">
        <w:rPr>
          <w:rFonts w:eastAsia="Times New Roman"/>
          <w:sz w:val="24"/>
          <w:szCs w:val="24"/>
        </w:rPr>
        <w:t xml:space="preserve"> training</w:t>
      </w:r>
      <w:r w:rsidRPr="0062406E">
        <w:rPr>
          <w:rFonts w:eastAsia="Times New Roman"/>
          <w:sz w:val="24"/>
          <w:szCs w:val="24"/>
        </w:rPr>
        <w:t xml:space="preserve">. </w:t>
      </w:r>
      <w:r w:rsidR="0018543A">
        <w:rPr>
          <w:rFonts w:eastAsia="Times New Roman"/>
          <w:sz w:val="24"/>
          <w:szCs w:val="24"/>
        </w:rPr>
        <w:t>The Prometheus Payment Model</w:t>
      </w:r>
      <w:r w:rsidR="000D2B46">
        <w:rPr>
          <w:rFonts w:eastAsia="Times New Roman"/>
          <w:sz w:val="24"/>
          <w:szCs w:val="24"/>
        </w:rPr>
        <w:t xml:space="preserve"> </w:t>
      </w:r>
      <w:r w:rsidR="0018543A">
        <w:rPr>
          <w:rFonts w:eastAsia="Times New Roman"/>
          <w:sz w:val="24"/>
          <w:szCs w:val="24"/>
        </w:rPr>
        <w:t>acknowledge</w:t>
      </w:r>
      <w:r w:rsidR="003945A5">
        <w:rPr>
          <w:rFonts w:eastAsia="Times New Roman"/>
          <w:sz w:val="24"/>
          <w:szCs w:val="24"/>
        </w:rPr>
        <w:t>s</w:t>
      </w:r>
      <w:r w:rsidR="0018543A">
        <w:rPr>
          <w:rFonts w:eastAsia="Times New Roman"/>
          <w:sz w:val="24"/>
          <w:szCs w:val="24"/>
        </w:rPr>
        <w:t xml:space="preserve"> that not all complications are avoidable.</w:t>
      </w:r>
    </w:p>
    <w:p w14:paraId="38A07D79" w14:textId="77777777" w:rsidR="00C3271C" w:rsidRDefault="008F557D" w:rsidP="005828B0">
      <w:pPr>
        <w:rPr>
          <w:rFonts w:eastAsia="Times New Roman"/>
          <w:sz w:val="24"/>
          <w:szCs w:val="24"/>
        </w:rPr>
      </w:pPr>
      <w:r w:rsidRPr="0062406E">
        <w:rPr>
          <w:rFonts w:eastAsia="Times New Roman"/>
          <w:sz w:val="24"/>
          <w:szCs w:val="24"/>
        </w:rPr>
        <w:t xml:space="preserve">By </w:t>
      </w:r>
      <w:r w:rsidR="000F0B0C" w:rsidRPr="0062406E">
        <w:rPr>
          <w:rFonts w:eastAsia="Times New Roman"/>
          <w:sz w:val="24"/>
          <w:szCs w:val="24"/>
        </w:rPr>
        <w:t>differentiating</w:t>
      </w:r>
      <w:r w:rsidRPr="0062406E">
        <w:rPr>
          <w:rFonts w:eastAsia="Times New Roman"/>
          <w:sz w:val="24"/>
          <w:szCs w:val="24"/>
        </w:rPr>
        <w:t xml:space="preserve"> these two types of risk, accountability for </w:t>
      </w:r>
      <w:r w:rsidR="003945A5">
        <w:rPr>
          <w:rFonts w:eastAsia="Times New Roman"/>
          <w:sz w:val="24"/>
          <w:szCs w:val="24"/>
        </w:rPr>
        <w:t xml:space="preserve">the </w:t>
      </w:r>
      <w:r w:rsidRPr="0062406E">
        <w:rPr>
          <w:rFonts w:eastAsia="Times New Roman"/>
          <w:sz w:val="24"/>
          <w:szCs w:val="24"/>
        </w:rPr>
        <w:t xml:space="preserve">costs of care can be </w:t>
      </w:r>
      <w:r w:rsidR="000F0B0C" w:rsidRPr="0062406E">
        <w:rPr>
          <w:rFonts w:eastAsia="Times New Roman"/>
          <w:sz w:val="24"/>
          <w:szCs w:val="24"/>
        </w:rPr>
        <w:t>separated</w:t>
      </w:r>
      <w:r w:rsidRPr="0062406E">
        <w:rPr>
          <w:rFonts w:eastAsia="Times New Roman"/>
          <w:sz w:val="24"/>
          <w:szCs w:val="24"/>
        </w:rPr>
        <w:t xml:space="preserve"> between payers and providers.</w:t>
      </w:r>
      <w:r w:rsidR="00663B97">
        <w:rPr>
          <w:rFonts w:eastAsia="Times New Roman"/>
          <w:sz w:val="24"/>
          <w:szCs w:val="24"/>
        </w:rPr>
        <w:t xml:space="preserve">  </w:t>
      </w:r>
      <w:r w:rsidRPr="0062406E">
        <w:rPr>
          <w:rFonts w:eastAsia="Times New Roman"/>
          <w:sz w:val="24"/>
          <w:szCs w:val="24"/>
        </w:rPr>
        <w:t>In the Prometheus Payment Model</w:t>
      </w:r>
      <w:r w:rsidR="00203937">
        <w:rPr>
          <w:rFonts w:eastAsia="Times New Roman"/>
          <w:sz w:val="24"/>
          <w:szCs w:val="24"/>
        </w:rPr>
        <w:t>,</w:t>
      </w:r>
      <w:r w:rsidR="00663B97">
        <w:rPr>
          <w:rFonts w:eastAsia="Times New Roman"/>
          <w:sz w:val="24"/>
          <w:szCs w:val="24"/>
        </w:rPr>
        <w:t xml:space="preserve"> </w:t>
      </w:r>
      <w:r w:rsidR="00D37F24">
        <w:rPr>
          <w:rFonts w:eastAsia="Times New Roman"/>
          <w:sz w:val="24"/>
          <w:szCs w:val="24"/>
        </w:rPr>
        <w:t xml:space="preserve">as applied </w:t>
      </w:r>
      <w:r w:rsidR="00663B97">
        <w:rPr>
          <w:rFonts w:eastAsia="Times New Roman"/>
          <w:sz w:val="24"/>
          <w:szCs w:val="24"/>
        </w:rPr>
        <w:t>in this report</w:t>
      </w:r>
      <w:r w:rsidRPr="0062406E">
        <w:rPr>
          <w:rFonts w:eastAsia="Times New Roman"/>
          <w:sz w:val="24"/>
          <w:szCs w:val="24"/>
        </w:rPr>
        <w:t xml:space="preserve">, payers </w:t>
      </w:r>
      <w:r w:rsidR="00CB58E2">
        <w:rPr>
          <w:rFonts w:eastAsia="Times New Roman"/>
          <w:sz w:val="24"/>
          <w:szCs w:val="24"/>
        </w:rPr>
        <w:t xml:space="preserve">continue to </w:t>
      </w:r>
      <w:r w:rsidRPr="0062406E">
        <w:rPr>
          <w:rFonts w:eastAsia="Times New Roman"/>
          <w:sz w:val="24"/>
          <w:szCs w:val="24"/>
        </w:rPr>
        <w:t>assume full financial responsibility for probability risk</w:t>
      </w:r>
      <w:r w:rsidR="00154706">
        <w:rPr>
          <w:rFonts w:eastAsia="Times New Roman"/>
          <w:sz w:val="24"/>
          <w:szCs w:val="24"/>
        </w:rPr>
        <w:t>.</w:t>
      </w:r>
      <w:r w:rsidRPr="0062406E">
        <w:rPr>
          <w:rFonts w:eastAsia="Times New Roman"/>
          <w:sz w:val="24"/>
          <w:szCs w:val="24"/>
        </w:rPr>
        <w:t xml:space="preserve"> Providers</w:t>
      </w:r>
      <w:r w:rsidR="00203937">
        <w:rPr>
          <w:rFonts w:eastAsia="Times New Roman"/>
          <w:sz w:val="24"/>
          <w:szCs w:val="24"/>
        </w:rPr>
        <w:t>, however,</w:t>
      </w:r>
      <w:r w:rsidRPr="0062406E">
        <w:rPr>
          <w:rFonts w:eastAsia="Times New Roman"/>
          <w:sz w:val="24"/>
          <w:szCs w:val="24"/>
        </w:rPr>
        <w:t xml:space="preserve"> assume</w:t>
      </w:r>
      <w:r w:rsidR="002F4CDC">
        <w:rPr>
          <w:rFonts w:eastAsia="Times New Roman"/>
          <w:sz w:val="24"/>
          <w:szCs w:val="24"/>
        </w:rPr>
        <w:t xml:space="preserve"> some of</w:t>
      </w:r>
      <w:r w:rsidRPr="0062406E">
        <w:rPr>
          <w:rFonts w:eastAsia="Times New Roman"/>
          <w:sz w:val="24"/>
          <w:szCs w:val="24"/>
        </w:rPr>
        <w:t xml:space="preserve"> the</w:t>
      </w:r>
      <w:r w:rsidR="00F30256" w:rsidRPr="0062406E">
        <w:rPr>
          <w:rFonts w:eastAsia="Times New Roman"/>
          <w:sz w:val="24"/>
          <w:szCs w:val="24"/>
        </w:rPr>
        <w:t xml:space="preserve"> technical</w:t>
      </w:r>
      <w:r w:rsidRPr="0062406E">
        <w:rPr>
          <w:rFonts w:eastAsia="Times New Roman"/>
          <w:sz w:val="24"/>
          <w:szCs w:val="24"/>
        </w:rPr>
        <w:t xml:space="preserve"> risk for the costs of </w:t>
      </w:r>
      <w:r w:rsidR="00154706">
        <w:rPr>
          <w:rFonts w:eastAsia="Times New Roman"/>
          <w:sz w:val="24"/>
          <w:szCs w:val="24"/>
        </w:rPr>
        <w:t>PACs</w:t>
      </w:r>
      <w:r w:rsidR="002E4472" w:rsidRPr="0062406E">
        <w:rPr>
          <w:rFonts w:eastAsia="Times New Roman"/>
          <w:sz w:val="24"/>
          <w:szCs w:val="24"/>
        </w:rPr>
        <w:t xml:space="preserve"> and readmissions</w:t>
      </w:r>
      <w:r w:rsidR="00F30256" w:rsidRPr="0062406E">
        <w:rPr>
          <w:rFonts w:eastAsia="Times New Roman"/>
          <w:sz w:val="24"/>
          <w:szCs w:val="24"/>
        </w:rPr>
        <w:t xml:space="preserve">, </w:t>
      </w:r>
      <w:r w:rsidR="003945A5">
        <w:rPr>
          <w:rFonts w:eastAsia="Times New Roman"/>
          <w:sz w:val="24"/>
          <w:szCs w:val="24"/>
        </w:rPr>
        <w:t>as</w:t>
      </w:r>
      <w:r w:rsidR="00F30256" w:rsidRPr="0062406E">
        <w:rPr>
          <w:rFonts w:eastAsia="Times New Roman"/>
          <w:sz w:val="24"/>
          <w:szCs w:val="24"/>
        </w:rPr>
        <w:t xml:space="preserve"> technical risk is </w:t>
      </w:r>
      <w:r w:rsidR="002F4CDC">
        <w:rPr>
          <w:rFonts w:eastAsia="Times New Roman"/>
          <w:sz w:val="24"/>
          <w:szCs w:val="24"/>
        </w:rPr>
        <w:t xml:space="preserve">at least partially </w:t>
      </w:r>
      <w:r w:rsidR="00F30256" w:rsidRPr="0062406E">
        <w:rPr>
          <w:rFonts w:eastAsia="Times New Roman"/>
          <w:sz w:val="24"/>
          <w:szCs w:val="24"/>
        </w:rPr>
        <w:t>controllable by the provider</w:t>
      </w:r>
      <w:r w:rsidR="00154706">
        <w:rPr>
          <w:rFonts w:eastAsia="Times New Roman"/>
          <w:sz w:val="24"/>
          <w:szCs w:val="24"/>
        </w:rPr>
        <w:t>.</w:t>
      </w:r>
      <w:r w:rsidR="00F30256" w:rsidRPr="0062406E">
        <w:rPr>
          <w:rFonts w:eastAsia="Times New Roman"/>
          <w:sz w:val="24"/>
          <w:szCs w:val="24"/>
        </w:rPr>
        <w:t xml:space="preserve"> </w:t>
      </w:r>
    </w:p>
    <w:p w14:paraId="7FFA5522" w14:textId="77777777" w:rsidR="00CB58E2" w:rsidRDefault="00CB58E2" w:rsidP="005828B0">
      <w:pPr>
        <w:rPr>
          <w:rFonts w:eastAsia="Times New Roman"/>
          <w:sz w:val="24"/>
          <w:szCs w:val="24"/>
        </w:rPr>
      </w:pPr>
    </w:p>
    <w:p w14:paraId="41A0F2D0" w14:textId="77777777" w:rsidR="00CB58E2" w:rsidRDefault="00CB58E2" w:rsidP="005828B0">
      <w:pPr>
        <w:rPr>
          <w:rFonts w:eastAsia="Times New Roman"/>
          <w:sz w:val="24"/>
          <w:szCs w:val="24"/>
        </w:rPr>
      </w:pPr>
      <w:r>
        <w:rPr>
          <w:rFonts w:eastAsia="Times New Roman"/>
          <w:sz w:val="24"/>
          <w:szCs w:val="24"/>
        </w:rPr>
        <w:br w:type="page"/>
      </w:r>
    </w:p>
    <w:p w14:paraId="568FD9F9" w14:textId="77777777" w:rsidR="007A213E" w:rsidRPr="005828B0" w:rsidRDefault="007A213E" w:rsidP="005828B0">
      <w:pPr>
        <w:rPr>
          <w:b/>
          <w:sz w:val="24"/>
          <w:szCs w:val="24"/>
        </w:rPr>
      </w:pPr>
      <w:r w:rsidRPr="005828B0">
        <w:rPr>
          <w:b/>
          <w:sz w:val="24"/>
          <w:szCs w:val="24"/>
        </w:rPr>
        <w:lastRenderedPageBreak/>
        <w:t>Potentially Avoidable Complications</w:t>
      </w:r>
      <w:r w:rsidR="0018543A" w:rsidRPr="005828B0">
        <w:rPr>
          <w:b/>
          <w:sz w:val="24"/>
          <w:szCs w:val="24"/>
        </w:rPr>
        <w:t xml:space="preserve"> (PACs)</w:t>
      </w:r>
    </w:p>
    <w:p w14:paraId="67A9F913" w14:textId="77777777" w:rsidR="00203937" w:rsidRDefault="00203937" w:rsidP="005828B0">
      <w:pPr>
        <w:autoSpaceDE w:val="0"/>
        <w:autoSpaceDN w:val="0"/>
        <w:adjustRightInd w:val="0"/>
        <w:rPr>
          <w:sz w:val="24"/>
          <w:szCs w:val="24"/>
        </w:rPr>
      </w:pPr>
      <w:r>
        <w:rPr>
          <w:rFonts w:cs="Times New Roman"/>
          <w:sz w:val="24"/>
          <w:szCs w:val="24"/>
        </w:rPr>
        <w:t>A</w:t>
      </w:r>
      <w:r w:rsidR="007A213E" w:rsidRPr="0062406E">
        <w:rPr>
          <w:rFonts w:cs="Times New Roman"/>
          <w:sz w:val="24"/>
          <w:szCs w:val="24"/>
        </w:rPr>
        <w:t xml:space="preserve"> PAC is any event that negatively impacts </w:t>
      </w:r>
      <w:r w:rsidR="006B7CDC">
        <w:rPr>
          <w:rFonts w:cs="Times New Roman"/>
          <w:sz w:val="24"/>
          <w:szCs w:val="24"/>
        </w:rPr>
        <w:t>a</w:t>
      </w:r>
      <w:r w:rsidR="007A213E" w:rsidRPr="0062406E">
        <w:rPr>
          <w:rFonts w:cs="Times New Roman"/>
          <w:sz w:val="24"/>
          <w:szCs w:val="24"/>
        </w:rPr>
        <w:t xml:space="preserve"> patient </w:t>
      </w:r>
      <w:r w:rsidR="00A50BCC">
        <w:rPr>
          <w:rFonts w:cs="Times New Roman"/>
          <w:sz w:val="24"/>
          <w:szCs w:val="24"/>
        </w:rPr>
        <w:t xml:space="preserve">and </w:t>
      </w:r>
      <w:r w:rsidR="006B7CDC">
        <w:rPr>
          <w:rFonts w:cs="Times New Roman"/>
          <w:sz w:val="24"/>
          <w:szCs w:val="24"/>
        </w:rPr>
        <w:t xml:space="preserve">that </w:t>
      </w:r>
      <w:r w:rsidR="007A213E" w:rsidRPr="0062406E">
        <w:rPr>
          <w:rFonts w:cs="Times New Roman"/>
          <w:sz w:val="24"/>
          <w:szCs w:val="24"/>
        </w:rPr>
        <w:t>is</w:t>
      </w:r>
      <w:r w:rsidR="007A213E" w:rsidRPr="0062406E">
        <w:rPr>
          <w:sz w:val="24"/>
          <w:szCs w:val="24"/>
        </w:rPr>
        <w:t xml:space="preserve"> </w:t>
      </w:r>
      <w:r w:rsidR="002F4CDC">
        <w:rPr>
          <w:sz w:val="24"/>
          <w:szCs w:val="24"/>
        </w:rPr>
        <w:t xml:space="preserve">potentially </w:t>
      </w:r>
      <w:r w:rsidR="006B7CDC">
        <w:rPr>
          <w:rFonts w:cs="Times New Roman"/>
          <w:sz w:val="24"/>
          <w:szCs w:val="24"/>
        </w:rPr>
        <w:t>controllable by a provider</w:t>
      </w:r>
      <w:r w:rsidR="007A213E" w:rsidRPr="0062406E">
        <w:rPr>
          <w:rFonts w:cs="Times New Roman"/>
          <w:sz w:val="24"/>
          <w:szCs w:val="24"/>
        </w:rPr>
        <w:t>.</w:t>
      </w:r>
      <w:r w:rsidR="00C3271C" w:rsidRPr="0062406E">
        <w:rPr>
          <w:rStyle w:val="FootnoteReference"/>
          <w:rFonts w:cs="Times New Roman"/>
          <w:sz w:val="24"/>
          <w:szCs w:val="24"/>
        </w:rPr>
        <w:footnoteReference w:id="5"/>
      </w:r>
      <w:r w:rsidR="007A213E" w:rsidRPr="0062406E">
        <w:rPr>
          <w:sz w:val="24"/>
          <w:szCs w:val="24"/>
        </w:rPr>
        <w:t xml:space="preserve"> </w:t>
      </w:r>
      <w:r w:rsidR="00BF3A0D" w:rsidRPr="0062406E">
        <w:rPr>
          <w:rFonts w:eastAsia="Times New Roman"/>
          <w:sz w:val="24"/>
          <w:szCs w:val="24"/>
        </w:rPr>
        <w:t xml:space="preserve">For patients </w:t>
      </w:r>
      <w:r w:rsidR="00FE6EE2" w:rsidRPr="0062406E">
        <w:rPr>
          <w:rFonts w:eastAsia="Times New Roman"/>
          <w:sz w:val="24"/>
          <w:szCs w:val="24"/>
        </w:rPr>
        <w:t>admitted to a hospital for</w:t>
      </w:r>
      <w:r w:rsidR="00BF3A0D" w:rsidRPr="0062406E">
        <w:rPr>
          <w:rFonts w:eastAsia="Times New Roman"/>
          <w:sz w:val="24"/>
          <w:szCs w:val="24"/>
        </w:rPr>
        <w:t xml:space="preserve"> acute conditions such as a</w:t>
      </w:r>
      <w:r w:rsidR="00FE6EE2" w:rsidRPr="0062406E">
        <w:rPr>
          <w:rFonts w:eastAsia="Times New Roman"/>
          <w:sz w:val="24"/>
          <w:szCs w:val="24"/>
        </w:rPr>
        <w:t xml:space="preserve">cute myocardial infarction (AMI), examples of PACs include </w:t>
      </w:r>
      <w:r w:rsidR="004758EA" w:rsidRPr="0062406E">
        <w:rPr>
          <w:rFonts w:eastAsia="Times New Roman"/>
          <w:sz w:val="24"/>
          <w:szCs w:val="24"/>
        </w:rPr>
        <w:t xml:space="preserve">cardiac arrest, </w:t>
      </w:r>
      <w:r w:rsidR="00FE6EE2" w:rsidRPr="0062406E">
        <w:rPr>
          <w:rFonts w:eastAsia="Times New Roman"/>
          <w:sz w:val="24"/>
          <w:szCs w:val="24"/>
        </w:rPr>
        <w:t>urinary tract infections</w:t>
      </w:r>
      <w:r>
        <w:rPr>
          <w:rFonts w:eastAsia="Times New Roman"/>
          <w:sz w:val="24"/>
          <w:szCs w:val="24"/>
        </w:rPr>
        <w:t>,</w:t>
      </w:r>
      <w:r w:rsidR="00FE6EE2" w:rsidRPr="0062406E">
        <w:rPr>
          <w:rFonts w:eastAsia="Times New Roman"/>
          <w:sz w:val="24"/>
          <w:szCs w:val="24"/>
        </w:rPr>
        <w:t xml:space="preserve"> and stroke. </w:t>
      </w:r>
      <w:r w:rsidR="004758EA" w:rsidRPr="0062406E">
        <w:rPr>
          <w:rFonts w:eastAsia="Times New Roman"/>
          <w:sz w:val="24"/>
          <w:szCs w:val="24"/>
        </w:rPr>
        <w:t>For patients having procedures such as bariatric surgery, examples of PACs include phlebitis (inflammation of a vein), acute post-hemorrhagic anemia</w:t>
      </w:r>
      <w:r>
        <w:rPr>
          <w:rFonts w:eastAsia="Times New Roman"/>
          <w:sz w:val="24"/>
          <w:szCs w:val="24"/>
        </w:rPr>
        <w:t>,</w:t>
      </w:r>
      <w:r w:rsidR="004758EA" w:rsidRPr="0062406E">
        <w:rPr>
          <w:rFonts w:eastAsia="Times New Roman"/>
          <w:sz w:val="24"/>
          <w:szCs w:val="24"/>
        </w:rPr>
        <w:t xml:space="preserve"> and fistula suture closure.</w:t>
      </w:r>
      <w:r w:rsidR="00992B7A" w:rsidRPr="0062406E">
        <w:rPr>
          <w:rFonts w:eastAsia="Times New Roman"/>
          <w:sz w:val="24"/>
          <w:szCs w:val="24"/>
        </w:rPr>
        <w:t xml:space="preserve"> </w:t>
      </w:r>
    </w:p>
    <w:p w14:paraId="7EC54303" w14:textId="77777777" w:rsidR="00F1573E" w:rsidRPr="00AD1B9E" w:rsidRDefault="006B7CDC" w:rsidP="005828B0">
      <w:pPr>
        <w:autoSpaceDE w:val="0"/>
        <w:autoSpaceDN w:val="0"/>
        <w:adjustRightInd w:val="0"/>
        <w:rPr>
          <w:sz w:val="24"/>
          <w:szCs w:val="24"/>
        </w:rPr>
      </w:pPr>
      <w:r w:rsidRPr="0062406E">
        <w:rPr>
          <w:sz w:val="24"/>
          <w:szCs w:val="24"/>
        </w:rPr>
        <w:t xml:space="preserve">Under the Prometheus Payment Model, PACs for each condition are classified into </w:t>
      </w:r>
      <w:r w:rsidR="00AD1B9E">
        <w:rPr>
          <w:sz w:val="24"/>
          <w:szCs w:val="24"/>
        </w:rPr>
        <w:t xml:space="preserve">one of </w:t>
      </w:r>
      <w:r w:rsidRPr="0062406E">
        <w:rPr>
          <w:sz w:val="24"/>
          <w:szCs w:val="24"/>
        </w:rPr>
        <w:t>three sources of complications: (1) index condition related PACs</w:t>
      </w:r>
      <w:r w:rsidR="005828B0">
        <w:rPr>
          <w:sz w:val="24"/>
          <w:szCs w:val="24"/>
        </w:rPr>
        <w:t xml:space="preserve">, </w:t>
      </w:r>
      <w:r w:rsidRPr="0062406E">
        <w:rPr>
          <w:sz w:val="24"/>
          <w:szCs w:val="24"/>
        </w:rPr>
        <w:t>(2) PACs due to co-morbid conditions</w:t>
      </w:r>
      <w:r w:rsidR="005828B0">
        <w:rPr>
          <w:sz w:val="24"/>
          <w:szCs w:val="24"/>
        </w:rPr>
        <w:t>,</w:t>
      </w:r>
      <w:r w:rsidRPr="0062406E">
        <w:rPr>
          <w:sz w:val="24"/>
          <w:szCs w:val="24"/>
        </w:rPr>
        <w:t xml:space="preserve"> and (3) PACs </w:t>
      </w:r>
      <w:r w:rsidRPr="0062406E">
        <w:rPr>
          <w:color w:val="000000"/>
          <w:sz w:val="24"/>
          <w:szCs w:val="24"/>
        </w:rPr>
        <w:t>related to</w:t>
      </w:r>
      <w:r w:rsidRPr="0062406E">
        <w:rPr>
          <w:sz w:val="24"/>
          <w:szCs w:val="24"/>
        </w:rPr>
        <w:t xml:space="preserve"> patient safety failure</w:t>
      </w:r>
      <w:r w:rsidR="00DF2A39">
        <w:rPr>
          <w:sz w:val="24"/>
          <w:szCs w:val="24"/>
        </w:rPr>
        <w:t>s</w:t>
      </w:r>
      <w:r w:rsidRPr="0062406E">
        <w:rPr>
          <w:sz w:val="24"/>
          <w:szCs w:val="24"/>
        </w:rPr>
        <w:t>.</w:t>
      </w:r>
      <w:r w:rsidR="00AD1B9E">
        <w:rPr>
          <w:sz w:val="24"/>
          <w:szCs w:val="24"/>
        </w:rPr>
        <w:t xml:space="preserve"> </w:t>
      </w:r>
      <w:r w:rsidR="00154706">
        <w:rPr>
          <w:rFonts w:eastAsia="Times New Roman"/>
          <w:sz w:val="24"/>
          <w:szCs w:val="24"/>
        </w:rPr>
        <w:t xml:space="preserve">As </w:t>
      </w:r>
      <w:r w:rsidR="00AD1B9E">
        <w:rPr>
          <w:rFonts w:eastAsia="Times New Roman"/>
          <w:sz w:val="24"/>
          <w:szCs w:val="24"/>
        </w:rPr>
        <w:t>p</w:t>
      </w:r>
      <w:r w:rsidR="00AD1B9E" w:rsidRPr="0062406E">
        <w:rPr>
          <w:rFonts w:eastAsia="Times New Roman"/>
          <w:sz w:val="24"/>
          <w:szCs w:val="24"/>
        </w:rPr>
        <w:t xml:space="preserve">roviders are expected to </w:t>
      </w:r>
      <w:r w:rsidR="00AD1B9E">
        <w:rPr>
          <w:rFonts w:eastAsia="Times New Roman"/>
          <w:sz w:val="24"/>
          <w:szCs w:val="24"/>
        </w:rPr>
        <w:t>work to avoid</w:t>
      </w:r>
      <w:r w:rsidR="00AD1B9E" w:rsidRPr="0062406E">
        <w:rPr>
          <w:rFonts w:eastAsia="Times New Roman"/>
          <w:sz w:val="24"/>
          <w:szCs w:val="24"/>
        </w:rPr>
        <w:t xml:space="preserve"> these complications</w:t>
      </w:r>
      <w:r w:rsidR="00AD1B9E">
        <w:rPr>
          <w:rFonts w:eastAsia="Times New Roman"/>
          <w:sz w:val="24"/>
          <w:szCs w:val="24"/>
        </w:rPr>
        <w:t>,</w:t>
      </w:r>
      <w:r w:rsidR="00AD1B9E" w:rsidRPr="0062406E">
        <w:rPr>
          <w:rFonts w:eastAsia="Times New Roman"/>
          <w:sz w:val="24"/>
          <w:szCs w:val="24"/>
        </w:rPr>
        <w:t xml:space="preserve"> they </w:t>
      </w:r>
      <w:r w:rsidR="00AD1B9E">
        <w:rPr>
          <w:rFonts w:eastAsia="Times New Roman"/>
          <w:sz w:val="24"/>
          <w:szCs w:val="24"/>
        </w:rPr>
        <w:t>are</w:t>
      </w:r>
      <w:r w:rsidR="00AD1B9E" w:rsidRPr="0062406E">
        <w:rPr>
          <w:rFonts w:eastAsia="Times New Roman"/>
          <w:sz w:val="24"/>
          <w:szCs w:val="24"/>
        </w:rPr>
        <w:t xml:space="preserve"> not fully reimbursed for all the</w:t>
      </w:r>
      <w:r w:rsidR="00AD1B9E">
        <w:rPr>
          <w:rFonts w:eastAsia="Times New Roman"/>
          <w:sz w:val="24"/>
          <w:szCs w:val="24"/>
        </w:rPr>
        <w:t>ir</w:t>
      </w:r>
      <w:r w:rsidR="00AD1B9E" w:rsidRPr="0062406E">
        <w:rPr>
          <w:rFonts w:eastAsia="Times New Roman"/>
          <w:sz w:val="24"/>
          <w:szCs w:val="24"/>
        </w:rPr>
        <w:t xml:space="preserve"> associated costs </w:t>
      </w:r>
      <w:r w:rsidR="00AD1B9E">
        <w:rPr>
          <w:rFonts w:eastAsia="Times New Roman"/>
          <w:sz w:val="24"/>
          <w:szCs w:val="24"/>
        </w:rPr>
        <w:t>in</w:t>
      </w:r>
      <w:r w:rsidR="00AD1B9E" w:rsidRPr="0062406E">
        <w:rPr>
          <w:rFonts w:eastAsia="Times New Roman"/>
          <w:sz w:val="24"/>
          <w:szCs w:val="24"/>
        </w:rPr>
        <w:t xml:space="preserve"> the Prometheus Payment Model.</w:t>
      </w:r>
      <w:r w:rsidR="00AD1B9E">
        <w:rPr>
          <w:sz w:val="24"/>
          <w:szCs w:val="24"/>
        </w:rPr>
        <w:t xml:space="preserve"> </w:t>
      </w:r>
      <w:r w:rsidR="008D0735" w:rsidRPr="0062406E">
        <w:rPr>
          <w:sz w:val="24"/>
          <w:szCs w:val="24"/>
        </w:rPr>
        <w:t xml:space="preserve">The purpose of holding providers accountable for </w:t>
      </w:r>
      <w:r w:rsidR="00154706">
        <w:rPr>
          <w:sz w:val="24"/>
          <w:szCs w:val="24"/>
        </w:rPr>
        <w:t xml:space="preserve">PAC </w:t>
      </w:r>
      <w:r w:rsidR="0057623F">
        <w:rPr>
          <w:sz w:val="24"/>
          <w:szCs w:val="24"/>
        </w:rPr>
        <w:t>costs</w:t>
      </w:r>
      <w:r w:rsidR="008D0735" w:rsidRPr="0062406E">
        <w:rPr>
          <w:sz w:val="24"/>
          <w:szCs w:val="24"/>
        </w:rPr>
        <w:t xml:space="preserve"> is </w:t>
      </w:r>
      <w:r w:rsidR="007A213E" w:rsidRPr="0062406E">
        <w:rPr>
          <w:sz w:val="24"/>
          <w:szCs w:val="24"/>
        </w:rPr>
        <w:t xml:space="preserve">to </w:t>
      </w:r>
      <w:r w:rsidR="0057623F">
        <w:rPr>
          <w:sz w:val="24"/>
          <w:szCs w:val="24"/>
        </w:rPr>
        <w:t xml:space="preserve">better </w:t>
      </w:r>
      <w:r w:rsidR="00C62B51" w:rsidRPr="0062406E">
        <w:rPr>
          <w:rFonts w:eastAsia="Times New Roman"/>
          <w:sz w:val="24"/>
          <w:szCs w:val="24"/>
        </w:rPr>
        <w:t>align payment policies with quality improvement</w:t>
      </w:r>
      <w:r w:rsidR="0057623F">
        <w:rPr>
          <w:rFonts w:eastAsia="Times New Roman"/>
          <w:sz w:val="24"/>
          <w:szCs w:val="24"/>
        </w:rPr>
        <w:t xml:space="preserve"> goals</w:t>
      </w:r>
      <w:r w:rsidR="00C62B51" w:rsidRPr="0062406E">
        <w:rPr>
          <w:rStyle w:val="FootnoteReference"/>
          <w:sz w:val="24"/>
          <w:szCs w:val="24"/>
        </w:rPr>
        <w:footnoteReference w:id="6"/>
      </w:r>
      <w:r w:rsidR="000D2B46" w:rsidRPr="000D2B46">
        <w:rPr>
          <w:rFonts w:eastAsia="Times New Roman"/>
          <w:sz w:val="24"/>
          <w:szCs w:val="24"/>
          <w:vertAlign w:val="superscript"/>
        </w:rPr>
        <w:t>,</w:t>
      </w:r>
      <w:r w:rsidR="00776CEB">
        <w:rPr>
          <w:rFonts w:eastAsia="Times New Roman"/>
          <w:sz w:val="24"/>
          <w:szCs w:val="24"/>
          <w:vertAlign w:val="superscript"/>
        </w:rPr>
        <w:t xml:space="preserve"> </w:t>
      </w:r>
      <w:r w:rsidR="0057623F" w:rsidRPr="0062406E">
        <w:rPr>
          <w:rStyle w:val="FootnoteReference"/>
          <w:sz w:val="24"/>
          <w:szCs w:val="24"/>
        </w:rPr>
        <w:footnoteReference w:id="7"/>
      </w:r>
      <w:r w:rsidR="002E3C45">
        <w:rPr>
          <w:sz w:val="24"/>
          <w:szCs w:val="24"/>
        </w:rPr>
        <w:t xml:space="preserve"> and</w:t>
      </w:r>
      <w:r w:rsidR="00A50BCC">
        <w:rPr>
          <w:sz w:val="24"/>
          <w:szCs w:val="24"/>
        </w:rPr>
        <w:t xml:space="preserve"> to potentially </w:t>
      </w:r>
      <w:r w:rsidR="007A213E" w:rsidRPr="0062406E">
        <w:rPr>
          <w:sz w:val="24"/>
          <w:szCs w:val="24"/>
        </w:rPr>
        <w:t>reduce</w:t>
      </w:r>
      <w:r w:rsidR="008D0735" w:rsidRPr="0062406E">
        <w:rPr>
          <w:sz w:val="24"/>
          <w:szCs w:val="24"/>
        </w:rPr>
        <w:t xml:space="preserve"> </w:t>
      </w:r>
      <w:r w:rsidR="00A50BCC">
        <w:rPr>
          <w:sz w:val="24"/>
          <w:szCs w:val="24"/>
        </w:rPr>
        <w:t xml:space="preserve">PAC </w:t>
      </w:r>
      <w:r w:rsidR="00CB61BA">
        <w:rPr>
          <w:sz w:val="24"/>
          <w:szCs w:val="24"/>
        </w:rPr>
        <w:t>occurrence</w:t>
      </w:r>
      <w:r w:rsidR="00A50BCC">
        <w:rPr>
          <w:sz w:val="24"/>
          <w:szCs w:val="24"/>
        </w:rPr>
        <w:t xml:space="preserve"> over time</w:t>
      </w:r>
      <w:r w:rsidR="00C62B51">
        <w:rPr>
          <w:sz w:val="24"/>
          <w:szCs w:val="24"/>
        </w:rPr>
        <w:t>.</w:t>
      </w:r>
      <w:r w:rsidR="008D0735" w:rsidRPr="0062406E">
        <w:rPr>
          <w:rStyle w:val="FootnoteReference"/>
          <w:sz w:val="24"/>
          <w:szCs w:val="24"/>
        </w:rPr>
        <w:footnoteReference w:id="8"/>
      </w:r>
      <w:r w:rsidR="00C3271C" w:rsidRPr="0062406E">
        <w:rPr>
          <w:sz w:val="24"/>
          <w:szCs w:val="24"/>
        </w:rPr>
        <w:t xml:space="preserve"> </w:t>
      </w:r>
    </w:p>
    <w:p w14:paraId="70A8C69E" w14:textId="77777777" w:rsidR="002915AB" w:rsidRPr="005828B0" w:rsidRDefault="00DF2A39" w:rsidP="005828B0">
      <w:pPr>
        <w:rPr>
          <w:b/>
          <w:sz w:val="24"/>
          <w:szCs w:val="24"/>
        </w:rPr>
      </w:pPr>
      <w:r>
        <w:rPr>
          <w:b/>
          <w:sz w:val="24"/>
          <w:szCs w:val="24"/>
        </w:rPr>
        <w:t xml:space="preserve">Calculating an </w:t>
      </w:r>
      <w:r w:rsidR="002915AB" w:rsidRPr="005828B0">
        <w:rPr>
          <w:b/>
          <w:sz w:val="24"/>
          <w:szCs w:val="24"/>
        </w:rPr>
        <w:t>Evidence-Informed Case Rate</w:t>
      </w:r>
    </w:p>
    <w:p w14:paraId="15D89768" w14:textId="77777777" w:rsidR="004D5CE0" w:rsidRPr="0062406E" w:rsidRDefault="004D5CE0" w:rsidP="005828B0">
      <w:pPr>
        <w:rPr>
          <w:rFonts w:eastAsia="Times New Roman"/>
          <w:sz w:val="24"/>
          <w:szCs w:val="24"/>
        </w:rPr>
      </w:pPr>
      <w:r w:rsidRPr="0062406E">
        <w:rPr>
          <w:rFonts w:eastAsia="Times New Roman"/>
          <w:sz w:val="24"/>
          <w:szCs w:val="24"/>
        </w:rPr>
        <w:t xml:space="preserve">Under the Prometheus Payment Model, payment is calculated </w:t>
      </w:r>
      <w:r w:rsidR="00837792">
        <w:rPr>
          <w:rFonts w:eastAsia="Times New Roman"/>
          <w:sz w:val="24"/>
          <w:szCs w:val="24"/>
        </w:rPr>
        <w:t>using</w:t>
      </w:r>
      <w:r w:rsidR="00837792" w:rsidRPr="0062406E">
        <w:rPr>
          <w:rFonts w:eastAsia="Times New Roman"/>
          <w:sz w:val="24"/>
          <w:szCs w:val="24"/>
        </w:rPr>
        <w:t xml:space="preserve"> </w:t>
      </w:r>
      <w:r w:rsidRPr="0062406E">
        <w:rPr>
          <w:rFonts w:eastAsia="Times New Roman"/>
          <w:sz w:val="24"/>
          <w:szCs w:val="24"/>
        </w:rPr>
        <w:t>a patient</w:t>
      </w:r>
      <w:r w:rsidR="003945A5">
        <w:rPr>
          <w:rFonts w:eastAsia="Times New Roman"/>
          <w:sz w:val="24"/>
          <w:szCs w:val="24"/>
        </w:rPr>
        <w:t>-</w:t>
      </w:r>
      <w:r w:rsidRPr="0062406E">
        <w:rPr>
          <w:rFonts w:eastAsia="Times New Roman"/>
          <w:sz w:val="24"/>
          <w:szCs w:val="24"/>
        </w:rPr>
        <w:t xml:space="preserve">specific, evidence-informed case rate (ECR). </w:t>
      </w:r>
      <w:r w:rsidR="008F557D" w:rsidRPr="0062406E">
        <w:rPr>
          <w:rFonts w:eastAsia="Times New Roman"/>
          <w:sz w:val="24"/>
          <w:szCs w:val="24"/>
        </w:rPr>
        <w:t>An ECR consist</w:t>
      </w:r>
      <w:r w:rsidR="00C65CB5" w:rsidRPr="0062406E">
        <w:rPr>
          <w:rFonts w:eastAsia="Times New Roman"/>
          <w:sz w:val="24"/>
          <w:szCs w:val="24"/>
        </w:rPr>
        <w:t>s</w:t>
      </w:r>
      <w:r w:rsidR="008F557D" w:rsidRPr="0062406E">
        <w:rPr>
          <w:rFonts w:eastAsia="Times New Roman"/>
          <w:sz w:val="24"/>
          <w:szCs w:val="24"/>
        </w:rPr>
        <w:t xml:space="preserve"> of</w:t>
      </w:r>
      <w:r w:rsidR="00AD1B9E">
        <w:rPr>
          <w:rFonts w:eastAsia="Times New Roman"/>
          <w:sz w:val="24"/>
          <w:szCs w:val="24"/>
        </w:rPr>
        <w:t xml:space="preserve"> </w:t>
      </w:r>
      <w:r w:rsidR="00984424" w:rsidRPr="0062406E">
        <w:rPr>
          <w:rFonts w:eastAsia="Times New Roman"/>
          <w:sz w:val="24"/>
          <w:szCs w:val="24"/>
        </w:rPr>
        <w:t xml:space="preserve">a </w:t>
      </w:r>
      <w:r w:rsidR="003D6881" w:rsidRPr="0062406E">
        <w:rPr>
          <w:rFonts w:eastAsia="Times New Roman"/>
          <w:sz w:val="24"/>
          <w:szCs w:val="24"/>
        </w:rPr>
        <w:t xml:space="preserve">base </w:t>
      </w:r>
      <w:r w:rsidR="00154706">
        <w:rPr>
          <w:rFonts w:eastAsia="Times New Roman"/>
          <w:sz w:val="24"/>
          <w:szCs w:val="24"/>
        </w:rPr>
        <w:t>rate</w:t>
      </w:r>
      <w:r w:rsidR="00154706" w:rsidRPr="0062406E">
        <w:rPr>
          <w:rFonts w:eastAsia="Times New Roman"/>
          <w:sz w:val="24"/>
          <w:szCs w:val="24"/>
        </w:rPr>
        <w:t xml:space="preserve"> </w:t>
      </w:r>
      <w:r w:rsidR="003D6881" w:rsidRPr="0062406E">
        <w:rPr>
          <w:rFonts w:eastAsia="Times New Roman"/>
          <w:sz w:val="24"/>
          <w:szCs w:val="24"/>
        </w:rPr>
        <w:t xml:space="preserve">for </w:t>
      </w:r>
      <w:r w:rsidR="008F557D" w:rsidRPr="0062406E">
        <w:rPr>
          <w:rFonts w:eastAsia="Times New Roman"/>
          <w:sz w:val="24"/>
          <w:szCs w:val="24"/>
        </w:rPr>
        <w:t xml:space="preserve">costs of </w:t>
      </w:r>
      <w:r w:rsidRPr="0062406E">
        <w:rPr>
          <w:rFonts w:eastAsia="Times New Roman"/>
          <w:sz w:val="24"/>
          <w:szCs w:val="24"/>
        </w:rPr>
        <w:t>typical care</w:t>
      </w:r>
      <w:r w:rsidR="00154706">
        <w:rPr>
          <w:rFonts w:eastAsia="Times New Roman"/>
          <w:sz w:val="24"/>
          <w:szCs w:val="24"/>
        </w:rPr>
        <w:t>,</w:t>
      </w:r>
      <w:r w:rsidR="00154706" w:rsidRPr="0062406E">
        <w:rPr>
          <w:rFonts w:eastAsia="Times New Roman"/>
          <w:sz w:val="24"/>
          <w:szCs w:val="24"/>
        </w:rPr>
        <w:t xml:space="preserve"> </w:t>
      </w:r>
      <w:r w:rsidR="001C5E41" w:rsidRPr="0062406E">
        <w:rPr>
          <w:rFonts w:eastAsia="Times New Roman"/>
          <w:sz w:val="24"/>
          <w:szCs w:val="24"/>
        </w:rPr>
        <w:t xml:space="preserve">a </w:t>
      </w:r>
      <w:r w:rsidR="00984424" w:rsidRPr="0062406E">
        <w:rPr>
          <w:rFonts w:eastAsia="Times New Roman"/>
          <w:sz w:val="24"/>
          <w:szCs w:val="24"/>
        </w:rPr>
        <w:t xml:space="preserve">severity </w:t>
      </w:r>
      <w:r w:rsidRPr="0062406E">
        <w:rPr>
          <w:rFonts w:eastAsia="Times New Roman"/>
          <w:sz w:val="24"/>
          <w:szCs w:val="24"/>
        </w:rPr>
        <w:t>adjustment</w:t>
      </w:r>
      <w:r w:rsidR="00154706">
        <w:rPr>
          <w:rFonts w:eastAsia="Times New Roman"/>
          <w:sz w:val="24"/>
          <w:szCs w:val="24"/>
        </w:rPr>
        <w:t>,</w:t>
      </w:r>
      <w:r w:rsidR="00154706" w:rsidRPr="0062406E">
        <w:rPr>
          <w:rFonts w:eastAsia="Times New Roman"/>
          <w:sz w:val="24"/>
          <w:szCs w:val="24"/>
        </w:rPr>
        <w:t xml:space="preserve"> </w:t>
      </w:r>
      <w:r w:rsidR="001C5E41" w:rsidRPr="0062406E">
        <w:rPr>
          <w:rFonts w:eastAsia="Times New Roman"/>
          <w:sz w:val="24"/>
          <w:szCs w:val="24"/>
        </w:rPr>
        <w:t xml:space="preserve">a </w:t>
      </w:r>
      <w:r w:rsidRPr="0062406E">
        <w:rPr>
          <w:rFonts w:eastAsia="Times New Roman"/>
          <w:sz w:val="24"/>
          <w:szCs w:val="24"/>
        </w:rPr>
        <w:t>provider margin</w:t>
      </w:r>
      <w:r w:rsidR="00154706">
        <w:rPr>
          <w:rFonts w:eastAsia="Times New Roman"/>
          <w:sz w:val="24"/>
          <w:szCs w:val="24"/>
        </w:rPr>
        <w:t>,</w:t>
      </w:r>
      <w:r w:rsidR="00154706" w:rsidRPr="0062406E">
        <w:rPr>
          <w:rFonts w:eastAsia="Times New Roman"/>
          <w:sz w:val="24"/>
          <w:szCs w:val="24"/>
        </w:rPr>
        <w:t xml:space="preserve"> </w:t>
      </w:r>
      <w:r w:rsidRPr="0062406E">
        <w:rPr>
          <w:rFonts w:eastAsia="Times New Roman"/>
          <w:sz w:val="24"/>
          <w:szCs w:val="24"/>
        </w:rPr>
        <w:t xml:space="preserve">and </w:t>
      </w:r>
      <w:r w:rsidR="00984424" w:rsidRPr="0062406E">
        <w:rPr>
          <w:rFonts w:eastAsia="Times New Roman"/>
          <w:sz w:val="24"/>
          <w:szCs w:val="24"/>
        </w:rPr>
        <w:t xml:space="preserve">a </w:t>
      </w:r>
      <w:r w:rsidRPr="0062406E">
        <w:rPr>
          <w:rFonts w:eastAsia="Times New Roman"/>
          <w:sz w:val="24"/>
          <w:szCs w:val="24"/>
        </w:rPr>
        <w:t>PAC allowance.</w:t>
      </w:r>
      <w:r w:rsidRPr="0062406E">
        <w:rPr>
          <w:rStyle w:val="FootnoteReference"/>
          <w:rFonts w:eastAsia="Times New Roman"/>
          <w:sz w:val="24"/>
          <w:szCs w:val="24"/>
        </w:rPr>
        <w:footnoteReference w:id="9"/>
      </w:r>
    </w:p>
    <w:p w14:paraId="31353BF0" w14:textId="77777777" w:rsidR="00121CB8" w:rsidRPr="001D0382" w:rsidRDefault="006E2DCF" w:rsidP="005828B0">
      <w:pPr>
        <w:pStyle w:val="NoSpacing"/>
        <w:spacing w:after="200" w:line="276" w:lineRule="auto"/>
        <w:rPr>
          <w:b/>
          <w:i/>
          <w:sz w:val="24"/>
          <w:szCs w:val="24"/>
        </w:rPr>
      </w:pPr>
      <w:r w:rsidRPr="0062406E">
        <w:rPr>
          <w:b/>
          <w:i/>
          <w:sz w:val="24"/>
          <w:szCs w:val="24"/>
        </w:rPr>
        <w:t>ECR</w:t>
      </w:r>
      <w:r w:rsidR="008F557D" w:rsidRPr="0062406E">
        <w:rPr>
          <w:b/>
          <w:i/>
          <w:sz w:val="24"/>
          <w:szCs w:val="24"/>
        </w:rPr>
        <w:t xml:space="preserve"> = </w:t>
      </w:r>
      <w:r w:rsidR="00387856" w:rsidRPr="0062406E">
        <w:rPr>
          <w:b/>
          <w:i/>
          <w:sz w:val="24"/>
          <w:szCs w:val="24"/>
        </w:rPr>
        <w:t xml:space="preserve">base </w:t>
      </w:r>
      <w:r w:rsidR="00154706">
        <w:rPr>
          <w:b/>
          <w:i/>
          <w:sz w:val="24"/>
          <w:szCs w:val="24"/>
        </w:rPr>
        <w:t>rate</w:t>
      </w:r>
      <w:r w:rsidR="00154706" w:rsidRPr="0062406E">
        <w:rPr>
          <w:b/>
          <w:i/>
          <w:sz w:val="24"/>
          <w:szCs w:val="24"/>
        </w:rPr>
        <w:t xml:space="preserve"> </w:t>
      </w:r>
      <w:r w:rsidR="008F557D" w:rsidRPr="0062406E">
        <w:rPr>
          <w:b/>
          <w:i/>
          <w:sz w:val="24"/>
          <w:szCs w:val="24"/>
        </w:rPr>
        <w:t xml:space="preserve">+ severity adjustment + margin + </w:t>
      </w:r>
      <w:r w:rsidR="001C5E41" w:rsidRPr="0062406E">
        <w:rPr>
          <w:b/>
          <w:i/>
          <w:sz w:val="24"/>
          <w:szCs w:val="24"/>
        </w:rPr>
        <w:t>PAC</w:t>
      </w:r>
      <w:r w:rsidR="00FA321A" w:rsidRPr="0062406E">
        <w:rPr>
          <w:b/>
          <w:i/>
          <w:sz w:val="24"/>
          <w:szCs w:val="24"/>
        </w:rPr>
        <w:t xml:space="preserve"> allowance</w:t>
      </w:r>
    </w:p>
    <w:p w14:paraId="624920C8" w14:textId="77777777" w:rsidR="004D5CE0" w:rsidRPr="0062406E" w:rsidRDefault="00A209DF" w:rsidP="005828B0">
      <w:pPr>
        <w:ind w:left="360"/>
        <w:rPr>
          <w:rFonts w:eastAsia="Times New Roman"/>
          <w:sz w:val="24"/>
          <w:szCs w:val="24"/>
        </w:rPr>
      </w:pPr>
      <w:r w:rsidRPr="0062406E">
        <w:rPr>
          <w:rFonts w:eastAsia="Times New Roman"/>
          <w:sz w:val="24"/>
          <w:szCs w:val="24"/>
        </w:rPr>
        <w:t xml:space="preserve">(1) </w:t>
      </w:r>
      <w:r w:rsidR="009764D1">
        <w:rPr>
          <w:rFonts w:eastAsia="Times New Roman"/>
          <w:sz w:val="24"/>
          <w:szCs w:val="24"/>
        </w:rPr>
        <w:t>B</w:t>
      </w:r>
      <w:r w:rsidR="009764D1" w:rsidRPr="0062406E">
        <w:rPr>
          <w:rFonts w:eastAsia="Times New Roman"/>
          <w:sz w:val="24"/>
          <w:szCs w:val="24"/>
        </w:rPr>
        <w:t xml:space="preserve">ase </w:t>
      </w:r>
      <w:r w:rsidR="00F54586" w:rsidRPr="0062406E">
        <w:rPr>
          <w:rFonts w:eastAsia="Times New Roman"/>
          <w:sz w:val="24"/>
          <w:szCs w:val="24"/>
        </w:rPr>
        <w:t>rate</w:t>
      </w:r>
      <w:r w:rsidRPr="0062406E">
        <w:rPr>
          <w:rFonts w:eastAsia="Times New Roman"/>
          <w:sz w:val="24"/>
          <w:szCs w:val="24"/>
        </w:rPr>
        <w:t>:</w:t>
      </w:r>
      <w:r w:rsidR="00FE1CF2">
        <w:rPr>
          <w:rFonts w:eastAsia="Times New Roman"/>
          <w:sz w:val="24"/>
          <w:szCs w:val="24"/>
        </w:rPr>
        <w:t xml:space="preserve"> </w:t>
      </w:r>
    </w:p>
    <w:p w14:paraId="2A7B7425" w14:textId="77777777" w:rsidR="004D5CE0" w:rsidRPr="0062406E" w:rsidRDefault="00A209DF" w:rsidP="005828B0">
      <w:pPr>
        <w:ind w:left="360"/>
        <w:rPr>
          <w:rFonts w:eastAsia="Times New Roman"/>
          <w:sz w:val="24"/>
          <w:szCs w:val="24"/>
        </w:rPr>
      </w:pPr>
      <w:r w:rsidRPr="0062406E">
        <w:rPr>
          <w:rFonts w:eastAsia="Times New Roman"/>
          <w:sz w:val="24"/>
          <w:szCs w:val="24"/>
        </w:rPr>
        <w:t xml:space="preserve">The </w:t>
      </w:r>
      <w:r w:rsidR="00943C3E">
        <w:rPr>
          <w:rFonts w:eastAsia="Times New Roman"/>
          <w:sz w:val="24"/>
          <w:szCs w:val="24"/>
        </w:rPr>
        <w:t xml:space="preserve">base rate is the </w:t>
      </w:r>
      <w:r w:rsidRPr="0062406E">
        <w:rPr>
          <w:rFonts w:eastAsia="Times New Roman"/>
          <w:sz w:val="24"/>
          <w:szCs w:val="24"/>
        </w:rPr>
        <w:t>cost of “t</w:t>
      </w:r>
      <w:r w:rsidR="004D5CE0" w:rsidRPr="0062406E">
        <w:rPr>
          <w:rFonts w:eastAsia="Times New Roman"/>
          <w:sz w:val="24"/>
          <w:szCs w:val="24"/>
        </w:rPr>
        <w:t xml:space="preserve">ypical care” </w:t>
      </w:r>
      <w:r w:rsidR="00943C3E">
        <w:rPr>
          <w:rFonts w:eastAsia="Times New Roman"/>
          <w:sz w:val="24"/>
          <w:szCs w:val="24"/>
        </w:rPr>
        <w:t>for</w:t>
      </w:r>
      <w:r w:rsidRPr="0062406E">
        <w:rPr>
          <w:rFonts w:eastAsia="Times New Roman"/>
          <w:sz w:val="24"/>
          <w:szCs w:val="24"/>
        </w:rPr>
        <w:t xml:space="preserve"> </w:t>
      </w:r>
      <w:r w:rsidR="003945A5">
        <w:rPr>
          <w:rFonts w:eastAsia="Times New Roman"/>
          <w:sz w:val="24"/>
          <w:szCs w:val="24"/>
        </w:rPr>
        <w:t>the</w:t>
      </w:r>
      <w:r w:rsidRPr="0062406E">
        <w:rPr>
          <w:rFonts w:eastAsia="Times New Roman"/>
          <w:sz w:val="24"/>
          <w:szCs w:val="24"/>
        </w:rPr>
        <w:t xml:space="preserve"> ECR</w:t>
      </w:r>
      <w:r w:rsidR="005828B0">
        <w:rPr>
          <w:rFonts w:eastAsia="Times New Roman"/>
          <w:sz w:val="24"/>
          <w:szCs w:val="24"/>
        </w:rPr>
        <w:t>.</w:t>
      </w:r>
      <w:r w:rsidR="00943C3E">
        <w:rPr>
          <w:rFonts w:eastAsia="Times New Roman"/>
          <w:sz w:val="24"/>
          <w:szCs w:val="24"/>
        </w:rPr>
        <w:t xml:space="preserve"> It</w:t>
      </w:r>
      <w:r w:rsidRPr="0062406E">
        <w:rPr>
          <w:rFonts w:eastAsia="Times New Roman"/>
          <w:sz w:val="24"/>
          <w:szCs w:val="24"/>
        </w:rPr>
        <w:t xml:space="preserve"> </w:t>
      </w:r>
      <w:r w:rsidR="004D5CE0" w:rsidRPr="0062406E">
        <w:rPr>
          <w:rFonts w:eastAsia="Times New Roman"/>
          <w:sz w:val="24"/>
          <w:szCs w:val="24"/>
        </w:rPr>
        <w:t xml:space="preserve">is determined by calculating costs for delivering care that </w:t>
      </w:r>
      <w:r w:rsidR="00CB61BA">
        <w:rPr>
          <w:rFonts w:eastAsia="Times New Roman"/>
          <w:sz w:val="24"/>
          <w:szCs w:val="24"/>
        </w:rPr>
        <w:t>is</w:t>
      </w:r>
      <w:r w:rsidR="00CB61BA" w:rsidRPr="0062406E">
        <w:rPr>
          <w:rFonts w:eastAsia="Times New Roman"/>
          <w:sz w:val="24"/>
          <w:szCs w:val="24"/>
        </w:rPr>
        <w:t xml:space="preserve"> </w:t>
      </w:r>
      <w:r w:rsidR="004D5CE0" w:rsidRPr="0062406E">
        <w:rPr>
          <w:rFonts w:eastAsia="Times New Roman"/>
          <w:sz w:val="24"/>
          <w:szCs w:val="24"/>
        </w:rPr>
        <w:t xml:space="preserve">recommended by commonly accepted clinical guidelines for treating a given condition from beginning to end. </w:t>
      </w:r>
      <w:r w:rsidR="00AD1B9E">
        <w:rPr>
          <w:rFonts w:eastAsia="Times New Roman"/>
          <w:sz w:val="24"/>
          <w:szCs w:val="24"/>
        </w:rPr>
        <w:t xml:space="preserve">It may be lower than </w:t>
      </w:r>
      <w:r w:rsidR="00154706">
        <w:rPr>
          <w:rFonts w:eastAsia="Times New Roman"/>
          <w:sz w:val="24"/>
          <w:szCs w:val="24"/>
        </w:rPr>
        <w:t xml:space="preserve">the cost of </w:t>
      </w:r>
      <w:r w:rsidR="00AD1B9E">
        <w:rPr>
          <w:rFonts w:eastAsia="Times New Roman"/>
          <w:sz w:val="24"/>
          <w:szCs w:val="24"/>
        </w:rPr>
        <w:t>commonly prescribed care.</w:t>
      </w:r>
    </w:p>
    <w:p w14:paraId="5D2380F6" w14:textId="77777777" w:rsidR="004D5CE0" w:rsidRPr="0062406E" w:rsidRDefault="00A209DF" w:rsidP="005828B0">
      <w:pPr>
        <w:spacing w:before="240"/>
        <w:ind w:left="360"/>
        <w:rPr>
          <w:rFonts w:eastAsia="Times New Roman"/>
          <w:sz w:val="24"/>
          <w:szCs w:val="24"/>
        </w:rPr>
      </w:pPr>
      <w:r w:rsidRPr="0062406E">
        <w:rPr>
          <w:rFonts w:eastAsia="Times New Roman"/>
          <w:sz w:val="24"/>
          <w:szCs w:val="24"/>
        </w:rPr>
        <w:t>(2</w:t>
      </w:r>
      <w:r w:rsidR="004D5CE0" w:rsidRPr="0062406E">
        <w:rPr>
          <w:rFonts w:eastAsia="Times New Roman"/>
          <w:sz w:val="24"/>
          <w:szCs w:val="24"/>
        </w:rPr>
        <w:t>) Severity adjustment:</w:t>
      </w:r>
    </w:p>
    <w:p w14:paraId="36174F2F" w14:textId="77777777" w:rsidR="004D5CE0" w:rsidRPr="001F601F" w:rsidRDefault="004D5CE0" w:rsidP="005828B0">
      <w:pPr>
        <w:ind w:left="360"/>
        <w:rPr>
          <w:rFonts w:eastAsia="Times New Roman"/>
          <w:sz w:val="24"/>
          <w:szCs w:val="24"/>
        </w:rPr>
      </w:pPr>
      <w:r w:rsidRPr="0062406E">
        <w:rPr>
          <w:rFonts w:eastAsia="Times New Roman"/>
          <w:sz w:val="24"/>
          <w:szCs w:val="24"/>
        </w:rPr>
        <w:lastRenderedPageBreak/>
        <w:t>An ECR</w:t>
      </w:r>
      <w:r w:rsidR="00A50BCC">
        <w:rPr>
          <w:rFonts w:eastAsia="Times New Roman"/>
          <w:sz w:val="24"/>
          <w:szCs w:val="24"/>
        </w:rPr>
        <w:t xml:space="preserve"> may include</w:t>
      </w:r>
      <w:r w:rsidR="00943C3E">
        <w:rPr>
          <w:rFonts w:eastAsia="Times New Roman"/>
          <w:sz w:val="24"/>
          <w:szCs w:val="24"/>
        </w:rPr>
        <w:t xml:space="preserve"> a</w:t>
      </w:r>
      <w:r w:rsidRPr="0062406E">
        <w:rPr>
          <w:rFonts w:eastAsia="Times New Roman"/>
          <w:sz w:val="24"/>
          <w:szCs w:val="24"/>
        </w:rPr>
        <w:t xml:space="preserve"> severity</w:t>
      </w:r>
      <w:r w:rsidR="00E6561E">
        <w:rPr>
          <w:rFonts w:eastAsia="Times New Roman"/>
          <w:sz w:val="24"/>
          <w:szCs w:val="24"/>
        </w:rPr>
        <w:t xml:space="preserve"> </w:t>
      </w:r>
      <w:r w:rsidRPr="0062406E">
        <w:rPr>
          <w:rFonts w:eastAsia="Times New Roman"/>
          <w:sz w:val="24"/>
          <w:szCs w:val="24"/>
        </w:rPr>
        <w:t>adjust</w:t>
      </w:r>
      <w:r w:rsidR="00943C3E">
        <w:rPr>
          <w:rFonts w:eastAsia="Times New Roman"/>
          <w:sz w:val="24"/>
          <w:szCs w:val="24"/>
        </w:rPr>
        <w:t>ment</w:t>
      </w:r>
      <w:r w:rsidR="00C56717">
        <w:rPr>
          <w:rStyle w:val="FootnoteReference"/>
          <w:rFonts w:eastAsia="Times New Roman"/>
          <w:sz w:val="24"/>
          <w:szCs w:val="24"/>
        </w:rPr>
        <w:t xml:space="preserve"> </w:t>
      </w:r>
      <w:r w:rsidRPr="0062406E">
        <w:rPr>
          <w:rFonts w:eastAsia="Times New Roman"/>
          <w:sz w:val="24"/>
          <w:szCs w:val="24"/>
        </w:rPr>
        <w:t>based on both patient and provide</w:t>
      </w:r>
      <w:r w:rsidR="001C5E41" w:rsidRPr="0062406E">
        <w:rPr>
          <w:rFonts w:eastAsia="Times New Roman"/>
          <w:sz w:val="24"/>
          <w:szCs w:val="24"/>
        </w:rPr>
        <w:t>r characteristics. </w:t>
      </w:r>
      <w:r w:rsidRPr="0062406E">
        <w:rPr>
          <w:rFonts w:eastAsia="Times New Roman"/>
          <w:sz w:val="24"/>
          <w:szCs w:val="24"/>
        </w:rPr>
        <w:t>This adjustment takes multiple factors into account, including patient demographics and co-morbidities, geographic location, and provider specialty.</w:t>
      </w:r>
      <w:r w:rsidR="001F601F" w:rsidRPr="001F601F">
        <w:rPr>
          <w:rFonts w:eastAsia="Times New Roman"/>
          <w:sz w:val="24"/>
          <w:szCs w:val="24"/>
        </w:rPr>
        <w:t xml:space="preserve"> </w:t>
      </w:r>
      <w:r w:rsidR="00E6561E">
        <w:rPr>
          <w:rFonts w:eastAsia="Times New Roman"/>
          <w:sz w:val="24"/>
          <w:szCs w:val="24"/>
        </w:rPr>
        <w:t>A severity adjustment is not applied in this analysis.</w:t>
      </w:r>
    </w:p>
    <w:p w14:paraId="3745948B" w14:textId="77777777" w:rsidR="004D5CE0" w:rsidRPr="0062406E" w:rsidRDefault="004D5CE0" w:rsidP="005828B0">
      <w:pPr>
        <w:spacing w:before="240"/>
        <w:ind w:left="360"/>
        <w:rPr>
          <w:rFonts w:eastAsia="Times New Roman"/>
          <w:sz w:val="24"/>
          <w:szCs w:val="24"/>
        </w:rPr>
      </w:pPr>
      <w:r w:rsidRPr="0062406E">
        <w:rPr>
          <w:rFonts w:eastAsia="Times New Roman"/>
          <w:sz w:val="24"/>
          <w:szCs w:val="24"/>
        </w:rPr>
        <w:t>(</w:t>
      </w:r>
      <w:r w:rsidR="00A209DF" w:rsidRPr="0062406E">
        <w:rPr>
          <w:rFonts w:eastAsia="Times New Roman"/>
          <w:sz w:val="24"/>
          <w:szCs w:val="24"/>
        </w:rPr>
        <w:t>3</w:t>
      </w:r>
      <w:r w:rsidRPr="0062406E">
        <w:rPr>
          <w:rFonts w:eastAsia="Times New Roman"/>
          <w:sz w:val="24"/>
          <w:szCs w:val="24"/>
        </w:rPr>
        <w:t>) Margin:</w:t>
      </w:r>
    </w:p>
    <w:p w14:paraId="03606381" w14:textId="77777777" w:rsidR="004D5CE0" w:rsidRPr="0062406E" w:rsidRDefault="004D5CE0" w:rsidP="005828B0">
      <w:pPr>
        <w:ind w:left="360"/>
        <w:rPr>
          <w:rFonts w:eastAsia="Times New Roman"/>
          <w:sz w:val="24"/>
          <w:szCs w:val="24"/>
        </w:rPr>
      </w:pPr>
      <w:r w:rsidRPr="0062406E">
        <w:rPr>
          <w:rFonts w:eastAsia="Times New Roman"/>
          <w:sz w:val="24"/>
          <w:szCs w:val="24"/>
        </w:rPr>
        <w:t xml:space="preserve">An ECR </w:t>
      </w:r>
      <w:r w:rsidR="00663B97">
        <w:rPr>
          <w:rFonts w:eastAsia="Times New Roman"/>
          <w:sz w:val="24"/>
          <w:szCs w:val="24"/>
        </w:rPr>
        <w:t>also include</w:t>
      </w:r>
      <w:r w:rsidR="00071EBF">
        <w:rPr>
          <w:rFonts w:eastAsia="Times New Roman"/>
          <w:sz w:val="24"/>
          <w:szCs w:val="24"/>
        </w:rPr>
        <w:t>s</w:t>
      </w:r>
      <w:r w:rsidRPr="0062406E">
        <w:rPr>
          <w:rFonts w:eastAsia="Times New Roman"/>
          <w:sz w:val="24"/>
          <w:szCs w:val="24"/>
        </w:rPr>
        <w:t xml:space="preserve"> a </w:t>
      </w:r>
      <w:r w:rsidR="009538EA">
        <w:rPr>
          <w:rFonts w:eastAsia="Times New Roman"/>
          <w:sz w:val="24"/>
          <w:szCs w:val="24"/>
        </w:rPr>
        <w:t xml:space="preserve">provider </w:t>
      </w:r>
      <w:r w:rsidRPr="0062406E">
        <w:rPr>
          <w:rFonts w:eastAsia="Times New Roman"/>
          <w:sz w:val="24"/>
          <w:szCs w:val="24"/>
        </w:rPr>
        <w:t xml:space="preserve">profit margin, </w:t>
      </w:r>
      <w:r w:rsidR="008E730B">
        <w:rPr>
          <w:rFonts w:eastAsia="Times New Roman"/>
          <w:sz w:val="24"/>
          <w:szCs w:val="24"/>
        </w:rPr>
        <w:t>a pre-set markup factor that is applied to the severity-adjusted base rate</w:t>
      </w:r>
      <w:r w:rsidR="009538EA">
        <w:rPr>
          <w:rFonts w:eastAsia="Times New Roman"/>
          <w:sz w:val="24"/>
          <w:szCs w:val="24"/>
        </w:rPr>
        <w:t>.</w:t>
      </w:r>
      <w:r w:rsidR="008E730B">
        <w:rPr>
          <w:rFonts w:eastAsia="Times New Roman"/>
          <w:sz w:val="24"/>
          <w:szCs w:val="24"/>
        </w:rPr>
        <w:t xml:space="preserve"> </w:t>
      </w:r>
      <w:r w:rsidR="009538EA">
        <w:rPr>
          <w:rFonts w:eastAsia="Times New Roman"/>
          <w:sz w:val="24"/>
          <w:szCs w:val="24"/>
        </w:rPr>
        <w:t>The margin</w:t>
      </w:r>
      <w:r w:rsidR="009538EA" w:rsidRPr="0062406E">
        <w:rPr>
          <w:rFonts w:eastAsia="Times New Roman"/>
          <w:sz w:val="24"/>
          <w:szCs w:val="24"/>
        </w:rPr>
        <w:t xml:space="preserve"> </w:t>
      </w:r>
      <w:r w:rsidR="002C7EA7">
        <w:rPr>
          <w:rFonts w:eastAsia="Times New Roman"/>
          <w:sz w:val="24"/>
          <w:szCs w:val="24"/>
        </w:rPr>
        <w:t>acknowledges</w:t>
      </w:r>
      <w:r w:rsidR="002C7EA7" w:rsidRPr="0062406E">
        <w:rPr>
          <w:rFonts w:eastAsia="Times New Roman"/>
          <w:sz w:val="24"/>
          <w:szCs w:val="24"/>
        </w:rPr>
        <w:t xml:space="preserve"> </w:t>
      </w:r>
      <w:r w:rsidRPr="0062406E">
        <w:rPr>
          <w:rFonts w:eastAsia="Times New Roman"/>
          <w:sz w:val="24"/>
          <w:szCs w:val="24"/>
        </w:rPr>
        <w:t xml:space="preserve">the importance </w:t>
      </w:r>
      <w:r w:rsidR="008E730B">
        <w:rPr>
          <w:rFonts w:eastAsia="Times New Roman"/>
          <w:sz w:val="24"/>
          <w:szCs w:val="24"/>
        </w:rPr>
        <w:t>of</w:t>
      </w:r>
      <w:r w:rsidR="008E730B" w:rsidRPr="0062406E">
        <w:rPr>
          <w:rFonts w:eastAsia="Times New Roman"/>
          <w:sz w:val="24"/>
          <w:szCs w:val="24"/>
        </w:rPr>
        <w:t xml:space="preserve"> </w:t>
      </w:r>
      <w:r w:rsidR="002C7EA7">
        <w:rPr>
          <w:rFonts w:eastAsia="Times New Roman"/>
          <w:sz w:val="24"/>
          <w:szCs w:val="24"/>
        </w:rPr>
        <w:t xml:space="preserve">allowing providers a profit incentive, as well as the funds necessary to </w:t>
      </w:r>
      <w:r w:rsidR="008E730B">
        <w:rPr>
          <w:rFonts w:eastAsia="Times New Roman"/>
          <w:sz w:val="24"/>
          <w:szCs w:val="24"/>
        </w:rPr>
        <w:t xml:space="preserve">reinvest </w:t>
      </w:r>
      <w:r w:rsidR="008E730B" w:rsidRPr="0062406E">
        <w:rPr>
          <w:rFonts w:eastAsia="Times New Roman"/>
          <w:sz w:val="24"/>
          <w:szCs w:val="24"/>
        </w:rPr>
        <w:t>return</w:t>
      </w:r>
      <w:r w:rsidR="008E730B">
        <w:rPr>
          <w:rFonts w:eastAsia="Times New Roman"/>
          <w:sz w:val="24"/>
          <w:szCs w:val="24"/>
        </w:rPr>
        <w:t>s</w:t>
      </w:r>
      <w:r w:rsidR="008E730B" w:rsidRPr="0062406E">
        <w:rPr>
          <w:rFonts w:eastAsia="Times New Roman"/>
          <w:sz w:val="24"/>
          <w:szCs w:val="24"/>
        </w:rPr>
        <w:t xml:space="preserve"> in business operations</w:t>
      </w:r>
      <w:r w:rsidR="002C7EA7">
        <w:rPr>
          <w:rFonts w:eastAsia="Times New Roman"/>
          <w:sz w:val="24"/>
          <w:szCs w:val="24"/>
        </w:rPr>
        <w:t xml:space="preserve"> and capital assets</w:t>
      </w:r>
      <w:r w:rsidR="008E730B">
        <w:rPr>
          <w:rFonts w:eastAsia="Times New Roman"/>
          <w:sz w:val="24"/>
          <w:szCs w:val="24"/>
        </w:rPr>
        <w:t xml:space="preserve">. </w:t>
      </w:r>
      <w:r w:rsidR="008633DF">
        <w:rPr>
          <w:rFonts w:eastAsia="Times New Roman"/>
          <w:sz w:val="24"/>
          <w:szCs w:val="24"/>
        </w:rPr>
        <w:t>For this analysis</w:t>
      </w:r>
      <w:r w:rsidR="00154706">
        <w:rPr>
          <w:rFonts w:eastAsia="Times New Roman"/>
          <w:sz w:val="24"/>
          <w:szCs w:val="24"/>
        </w:rPr>
        <w:t>,</w:t>
      </w:r>
      <w:r w:rsidR="008633DF" w:rsidRPr="0062406E">
        <w:rPr>
          <w:rFonts w:eastAsia="Times New Roman"/>
          <w:sz w:val="24"/>
          <w:szCs w:val="24"/>
        </w:rPr>
        <w:t xml:space="preserve"> </w:t>
      </w:r>
      <w:r w:rsidRPr="0062406E">
        <w:rPr>
          <w:rFonts w:eastAsia="Times New Roman"/>
          <w:sz w:val="24"/>
          <w:szCs w:val="24"/>
        </w:rPr>
        <w:t xml:space="preserve">a </w:t>
      </w:r>
      <w:r w:rsidR="002C7EA7">
        <w:rPr>
          <w:rFonts w:eastAsia="Times New Roman"/>
          <w:sz w:val="24"/>
          <w:szCs w:val="24"/>
        </w:rPr>
        <w:t xml:space="preserve">profit </w:t>
      </w:r>
      <w:r w:rsidRPr="0062406E">
        <w:rPr>
          <w:rFonts w:eastAsia="Times New Roman"/>
          <w:sz w:val="24"/>
          <w:szCs w:val="24"/>
        </w:rPr>
        <w:t>margin of 10</w:t>
      </w:r>
      <w:r w:rsidR="005828B0">
        <w:rPr>
          <w:rFonts w:eastAsia="Times New Roman"/>
          <w:sz w:val="24"/>
          <w:szCs w:val="24"/>
        </w:rPr>
        <w:t>%</w:t>
      </w:r>
      <w:r w:rsidRPr="0062406E">
        <w:rPr>
          <w:rFonts w:eastAsia="Times New Roman"/>
          <w:sz w:val="24"/>
          <w:szCs w:val="24"/>
        </w:rPr>
        <w:t xml:space="preserve"> is factored into the ECR, though this number</w:t>
      </w:r>
      <w:r w:rsidR="00AD1B9E">
        <w:rPr>
          <w:rFonts w:eastAsia="Times New Roman"/>
          <w:sz w:val="24"/>
          <w:szCs w:val="24"/>
        </w:rPr>
        <w:t>, in practice, would be</w:t>
      </w:r>
      <w:r w:rsidRPr="0062406E">
        <w:rPr>
          <w:rFonts w:eastAsia="Times New Roman"/>
          <w:sz w:val="24"/>
          <w:szCs w:val="24"/>
        </w:rPr>
        <w:t xml:space="preserve"> adjusted </w:t>
      </w:r>
      <w:r w:rsidR="00E4376F" w:rsidRPr="0062406E">
        <w:rPr>
          <w:rFonts w:eastAsia="Times New Roman"/>
          <w:sz w:val="24"/>
          <w:szCs w:val="24"/>
        </w:rPr>
        <w:t>in negotiations between payers and providers</w:t>
      </w:r>
      <w:r w:rsidRPr="0062406E">
        <w:rPr>
          <w:rFonts w:eastAsia="Times New Roman"/>
          <w:sz w:val="24"/>
          <w:szCs w:val="24"/>
        </w:rPr>
        <w:t>.</w:t>
      </w:r>
    </w:p>
    <w:p w14:paraId="23D5F886" w14:textId="77777777" w:rsidR="004D5CE0" w:rsidRPr="0062406E" w:rsidRDefault="004D5CE0" w:rsidP="005828B0">
      <w:pPr>
        <w:spacing w:before="240"/>
        <w:ind w:left="360"/>
        <w:rPr>
          <w:rFonts w:eastAsia="Times New Roman"/>
          <w:sz w:val="24"/>
          <w:szCs w:val="24"/>
        </w:rPr>
      </w:pPr>
      <w:r w:rsidRPr="0062406E">
        <w:rPr>
          <w:rFonts w:eastAsia="Times New Roman"/>
          <w:sz w:val="24"/>
          <w:szCs w:val="24"/>
        </w:rPr>
        <w:t>(</w:t>
      </w:r>
      <w:r w:rsidR="00A209DF" w:rsidRPr="0062406E">
        <w:rPr>
          <w:rFonts w:eastAsia="Times New Roman"/>
          <w:sz w:val="24"/>
          <w:szCs w:val="24"/>
        </w:rPr>
        <w:t>4</w:t>
      </w:r>
      <w:r w:rsidRPr="0062406E">
        <w:rPr>
          <w:rFonts w:eastAsia="Times New Roman"/>
          <w:sz w:val="24"/>
          <w:szCs w:val="24"/>
        </w:rPr>
        <w:t>) PAC allowance:</w:t>
      </w:r>
    </w:p>
    <w:p w14:paraId="62ABEA0B" w14:textId="77777777" w:rsidR="00E16B0D" w:rsidRPr="00AD1B9E" w:rsidRDefault="005828B0" w:rsidP="005828B0">
      <w:pPr>
        <w:spacing w:before="240" w:after="0"/>
        <w:ind w:left="360"/>
        <w:rPr>
          <w:rFonts w:eastAsia="Times New Roman"/>
          <w:sz w:val="24"/>
          <w:szCs w:val="24"/>
        </w:rPr>
      </w:pPr>
      <w:r>
        <w:rPr>
          <w:sz w:val="24"/>
          <w:szCs w:val="24"/>
        </w:rPr>
        <w:t>Like the profit margin</w:t>
      </w:r>
      <w:r w:rsidR="00AD1B9E">
        <w:rPr>
          <w:sz w:val="24"/>
          <w:szCs w:val="24"/>
        </w:rPr>
        <w:t xml:space="preserve">, </w:t>
      </w:r>
      <w:r w:rsidR="009F585C">
        <w:rPr>
          <w:sz w:val="24"/>
          <w:szCs w:val="24"/>
        </w:rPr>
        <w:t xml:space="preserve">a PAC allowance </w:t>
      </w:r>
      <w:r>
        <w:rPr>
          <w:sz w:val="24"/>
          <w:szCs w:val="24"/>
        </w:rPr>
        <w:t xml:space="preserve">for a given condition </w:t>
      </w:r>
      <w:r w:rsidR="009F585C">
        <w:rPr>
          <w:sz w:val="24"/>
          <w:szCs w:val="24"/>
        </w:rPr>
        <w:t>is established b</w:t>
      </w:r>
      <w:r>
        <w:rPr>
          <w:sz w:val="24"/>
          <w:szCs w:val="24"/>
        </w:rPr>
        <w:t xml:space="preserve">etween a payer and a provider. </w:t>
      </w:r>
      <w:r w:rsidR="00A50BCC">
        <w:rPr>
          <w:sz w:val="24"/>
          <w:szCs w:val="24"/>
        </w:rPr>
        <w:t>I</w:t>
      </w:r>
      <w:r w:rsidR="00A50BCC" w:rsidRPr="0062406E">
        <w:rPr>
          <w:sz w:val="24"/>
          <w:szCs w:val="24"/>
        </w:rPr>
        <w:t>f providers reduce or eliminate PAC</w:t>
      </w:r>
      <w:r w:rsidR="00A50BCC">
        <w:rPr>
          <w:sz w:val="24"/>
          <w:szCs w:val="24"/>
        </w:rPr>
        <w:t xml:space="preserve"> costs beyond </w:t>
      </w:r>
      <w:r w:rsidR="00154706">
        <w:rPr>
          <w:sz w:val="24"/>
          <w:szCs w:val="24"/>
        </w:rPr>
        <w:t>that</w:t>
      </w:r>
      <w:r w:rsidR="00A50BCC" w:rsidRPr="0062406E">
        <w:rPr>
          <w:sz w:val="24"/>
          <w:szCs w:val="24"/>
        </w:rPr>
        <w:t xml:space="preserve"> the unused portion of the allowance is </w:t>
      </w:r>
      <w:r w:rsidR="009F585C">
        <w:rPr>
          <w:sz w:val="24"/>
          <w:szCs w:val="24"/>
        </w:rPr>
        <w:t>either kept by the pro</w:t>
      </w:r>
      <w:r w:rsidR="002E3C45">
        <w:rPr>
          <w:sz w:val="24"/>
          <w:szCs w:val="24"/>
        </w:rPr>
        <w:t>v</w:t>
      </w:r>
      <w:r w:rsidR="009F585C">
        <w:rPr>
          <w:sz w:val="24"/>
          <w:szCs w:val="24"/>
        </w:rPr>
        <w:t xml:space="preserve">ider or </w:t>
      </w:r>
      <w:r w:rsidR="00A50BCC" w:rsidRPr="0062406E">
        <w:rPr>
          <w:sz w:val="24"/>
          <w:szCs w:val="24"/>
        </w:rPr>
        <w:t xml:space="preserve">distributed </w:t>
      </w:r>
      <w:r w:rsidR="002E3C45">
        <w:rPr>
          <w:sz w:val="24"/>
          <w:szCs w:val="24"/>
        </w:rPr>
        <w:t>as</w:t>
      </w:r>
      <w:r w:rsidR="00A50BCC" w:rsidRPr="0062406E">
        <w:rPr>
          <w:sz w:val="24"/>
          <w:szCs w:val="24"/>
        </w:rPr>
        <w:t xml:space="preserve"> </w:t>
      </w:r>
      <w:r w:rsidR="003945A5">
        <w:rPr>
          <w:sz w:val="24"/>
          <w:szCs w:val="24"/>
        </w:rPr>
        <w:t>otherwise</w:t>
      </w:r>
      <w:r w:rsidR="00AD1B9E">
        <w:rPr>
          <w:sz w:val="24"/>
          <w:szCs w:val="24"/>
        </w:rPr>
        <w:t xml:space="preserve"> </w:t>
      </w:r>
      <w:r w:rsidR="00A50BCC" w:rsidRPr="0062406E">
        <w:rPr>
          <w:sz w:val="24"/>
          <w:szCs w:val="24"/>
        </w:rPr>
        <w:t>agreed</w:t>
      </w:r>
      <w:r w:rsidR="00A50BCC">
        <w:rPr>
          <w:rFonts w:eastAsia="Times New Roman"/>
          <w:sz w:val="24"/>
          <w:szCs w:val="24"/>
        </w:rPr>
        <w:t>.</w:t>
      </w:r>
      <w:r w:rsidR="00AD1B9E">
        <w:rPr>
          <w:rFonts w:eastAsia="Times New Roman"/>
          <w:sz w:val="24"/>
          <w:szCs w:val="24"/>
        </w:rPr>
        <w:t xml:space="preserve"> </w:t>
      </w:r>
      <w:r w:rsidR="00A22611">
        <w:rPr>
          <w:sz w:val="24"/>
          <w:szCs w:val="24"/>
        </w:rPr>
        <w:t xml:space="preserve">For this </w:t>
      </w:r>
      <w:r w:rsidR="00071EBF">
        <w:rPr>
          <w:sz w:val="24"/>
          <w:szCs w:val="24"/>
        </w:rPr>
        <w:t>analysis</w:t>
      </w:r>
      <w:r w:rsidR="00A22611">
        <w:rPr>
          <w:sz w:val="24"/>
          <w:szCs w:val="24"/>
        </w:rPr>
        <w:t xml:space="preserve">, </w:t>
      </w:r>
      <w:r w:rsidR="00A22611" w:rsidRPr="00071EBF">
        <w:rPr>
          <w:sz w:val="24"/>
          <w:szCs w:val="24"/>
        </w:rPr>
        <w:t>b</w:t>
      </w:r>
      <w:r w:rsidR="00A50BCC" w:rsidRPr="00071EBF">
        <w:rPr>
          <w:sz w:val="24"/>
          <w:szCs w:val="24"/>
        </w:rPr>
        <w:t xml:space="preserve">ased on </w:t>
      </w:r>
      <w:r w:rsidR="009F585C" w:rsidRPr="00071EBF">
        <w:rPr>
          <w:sz w:val="24"/>
          <w:szCs w:val="24"/>
        </w:rPr>
        <w:t xml:space="preserve">recent </w:t>
      </w:r>
      <w:r w:rsidR="00A50BCC" w:rsidRPr="00071EBF">
        <w:rPr>
          <w:sz w:val="24"/>
          <w:szCs w:val="24"/>
        </w:rPr>
        <w:t xml:space="preserve">literature, </w:t>
      </w:r>
      <w:r w:rsidR="003945A5">
        <w:rPr>
          <w:sz w:val="24"/>
          <w:szCs w:val="24"/>
        </w:rPr>
        <w:t>50</w:t>
      </w:r>
      <w:r>
        <w:rPr>
          <w:sz w:val="24"/>
          <w:szCs w:val="24"/>
        </w:rPr>
        <w:t>%</w:t>
      </w:r>
      <w:r w:rsidR="008664E8" w:rsidRPr="00071EBF">
        <w:rPr>
          <w:sz w:val="24"/>
          <w:szCs w:val="24"/>
        </w:rPr>
        <w:t xml:space="preserve"> of the </w:t>
      </w:r>
      <w:r w:rsidR="002B110C" w:rsidRPr="00071EBF">
        <w:rPr>
          <w:sz w:val="24"/>
          <w:szCs w:val="24"/>
        </w:rPr>
        <w:t xml:space="preserve">total </w:t>
      </w:r>
      <w:r w:rsidR="008664E8" w:rsidRPr="00071EBF">
        <w:rPr>
          <w:sz w:val="24"/>
          <w:szCs w:val="24"/>
        </w:rPr>
        <w:t xml:space="preserve">PAC dollars </w:t>
      </w:r>
      <w:r w:rsidR="00071EBF" w:rsidRPr="00071EBF">
        <w:rPr>
          <w:sz w:val="24"/>
          <w:szCs w:val="24"/>
        </w:rPr>
        <w:t>were allocated</w:t>
      </w:r>
      <w:r w:rsidR="002B110C" w:rsidRPr="00071EBF">
        <w:rPr>
          <w:sz w:val="24"/>
          <w:szCs w:val="24"/>
        </w:rPr>
        <w:t xml:space="preserve"> </w:t>
      </w:r>
      <w:r w:rsidR="009764D1" w:rsidRPr="00071EBF">
        <w:rPr>
          <w:sz w:val="24"/>
          <w:szCs w:val="24"/>
        </w:rPr>
        <w:t xml:space="preserve">to providers </w:t>
      </w:r>
      <w:r w:rsidR="002B110C" w:rsidRPr="00071EBF">
        <w:rPr>
          <w:sz w:val="24"/>
          <w:szCs w:val="24"/>
        </w:rPr>
        <w:t>to</w:t>
      </w:r>
      <w:r w:rsidR="008664E8" w:rsidRPr="00071EBF">
        <w:rPr>
          <w:sz w:val="24"/>
          <w:szCs w:val="24"/>
        </w:rPr>
        <w:t xml:space="preserve"> fund the PAC allowance.</w:t>
      </w:r>
      <w:r w:rsidR="00FA321A" w:rsidRPr="0062406E">
        <w:rPr>
          <w:rStyle w:val="FootnoteReference"/>
          <w:rFonts w:eastAsia="Times New Roman"/>
          <w:sz w:val="24"/>
          <w:szCs w:val="24"/>
        </w:rPr>
        <w:footnoteReference w:id="10"/>
      </w:r>
      <w:r w:rsidR="00FA321A" w:rsidRPr="0062406E">
        <w:rPr>
          <w:sz w:val="24"/>
          <w:szCs w:val="24"/>
        </w:rPr>
        <w:t xml:space="preserve"> </w:t>
      </w:r>
      <w:r w:rsidR="004F1E69" w:rsidRPr="0062406E">
        <w:rPr>
          <w:sz w:val="24"/>
          <w:szCs w:val="24"/>
        </w:rPr>
        <w:t>Th</w:t>
      </w:r>
      <w:r w:rsidR="004F1E69">
        <w:rPr>
          <w:sz w:val="24"/>
          <w:szCs w:val="24"/>
        </w:rPr>
        <w:t>e</w:t>
      </w:r>
      <w:r w:rsidR="009F585C">
        <w:rPr>
          <w:sz w:val="24"/>
          <w:szCs w:val="24"/>
        </w:rPr>
        <w:t>refore, the</w:t>
      </w:r>
      <w:r w:rsidR="004F1E69">
        <w:rPr>
          <w:sz w:val="24"/>
          <w:szCs w:val="24"/>
        </w:rPr>
        <w:t xml:space="preserve"> </w:t>
      </w:r>
      <w:r w:rsidR="00C11F4A">
        <w:rPr>
          <w:sz w:val="24"/>
          <w:szCs w:val="24"/>
        </w:rPr>
        <w:t xml:space="preserve">remaining </w:t>
      </w:r>
      <w:r>
        <w:rPr>
          <w:sz w:val="24"/>
          <w:szCs w:val="24"/>
        </w:rPr>
        <w:t>50%</w:t>
      </w:r>
      <w:r w:rsidR="004F1E69">
        <w:rPr>
          <w:sz w:val="24"/>
          <w:szCs w:val="24"/>
        </w:rPr>
        <w:t xml:space="preserve"> of the </w:t>
      </w:r>
      <w:r w:rsidR="00A22611">
        <w:rPr>
          <w:sz w:val="24"/>
          <w:szCs w:val="24"/>
        </w:rPr>
        <w:t xml:space="preserve">total </w:t>
      </w:r>
      <w:r w:rsidR="004F1E69">
        <w:rPr>
          <w:sz w:val="24"/>
          <w:szCs w:val="24"/>
        </w:rPr>
        <w:t xml:space="preserve">PAC </w:t>
      </w:r>
      <w:r w:rsidR="00154706">
        <w:rPr>
          <w:sz w:val="24"/>
          <w:szCs w:val="24"/>
        </w:rPr>
        <w:t xml:space="preserve">dollars </w:t>
      </w:r>
      <w:r w:rsidR="00A22611">
        <w:rPr>
          <w:sz w:val="24"/>
          <w:szCs w:val="24"/>
        </w:rPr>
        <w:t>were</w:t>
      </w:r>
      <w:r w:rsidR="00E16B0D">
        <w:rPr>
          <w:sz w:val="24"/>
          <w:szCs w:val="24"/>
        </w:rPr>
        <w:t xml:space="preserve"> allocated </w:t>
      </w:r>
      <w:r w:rsidR="00154706">
        <w:rPr>
          <w:sz w:val="24"/>
          <w:szCs w:val="24"/>
        </w:rPr>
        <w:t xml:space="preserve">as </w:t>
      </w:r>
      <w:r w:rsidR="004F1E69" w:rsidRPr="0062406E">
        <w:rPr>
          <w:sz w:val="24"/>
          <w:szCs w:val="24"/>
        </w:rPr>
        <w:t>savings.</w:t>
      </w:r>
      <w:r w:rsidR="004F1E69">
        <w:rPr>
          <w:sz w:val="24"/>
          <w:szCs w:val="24"/>
        </w:rPr>
        <w:t xml:space="preserve"> </w:t>
      </w:r>
      <w:r w:rsidR="00C62B51">
        <w:rPr>
          <w:sz w:val="24"/>
          <w:szCs w:val="24"/>
        </w:rPr>
        <w:t xml:space="preserve"> </w:t>
      </w:r>
    </w:p>
    <w:p w14:paraId="783E9F21" w14:textId="77777777" w:rsidR="006E2DCF" w:rsidRPr="0062406E" w:rsidRDefault="006E2DCF" w:rsidP="005828B0">
      <w:pPr>
        <w:spacing w:after="0"/>
        <w:rPr>
          <w:rFonts w:eastAsia="Times New Roman"/>
          <w:sz w:val="24"/>
          <w:szCs w:val="24"/>
        </w:rPr>
      </w:pPr>
    </w:p>
    <w:p w14:paraId="156BADDA" w14:textId="77777777" w:rsidR="004D5CE0" w:rsidRPr="005828B0" w:rsidRDefault="004D5CE0" w:rsidP="005828B0">
      <w:pPr>
        <w:rPr>
          <w:b/>
          <w:sz w:val="24"/>
          <w:szCs w:val="24"/>
        </w:rPr>
      </w:pPr>
      <w:r w:rsidRPr="005828B0">
        <w:rPr>
          <w:b/>
          <w:sz w:val="24"/>
          <w:szCs w:val="24"/>
        </w:rPr>
        <w:t xml:space="preserve">Covered </w:t>
      </w:r>
      <w:r w:rsidR="00A23D78" w:rsidRPr="005828B0">
        <w:rPr>
          <w:b/>
          <w:sz w:val="24"/>
          <w:szCs w:val="24"/>
        </w:rPr>
        <w:t>Conditions</w:t>
      </w:r>
    </w:p>
    <w:p w14:paraId="5EF93738" w14:textId="77777777" w:rsidR="00C10AC6" w:rsidRDefault="009764D1" w:rsidP="005828B0">
      <w:pPr>
        <w:rPr>
          <w:rFonts w:eastAsia="Times New Roman"/>
          <w:sz w:val="24"/>
          <w:szCs w:val="24"/>
        </w:rPr>
      </w:pPr>
      <w:r>
        <w:rPr>
          <w:rFonts w:eastAsia="Times New Roman"/>
          <w:sz w:val="24"/>
          <w:szCs w:val="24"/>
        </w:rPr>
        <w:t>At the time this analysis</w:t>
      </w:r>
      <w:r w:rsidR="00E16B0D">
        <w:rPr>
          <w:rFonts w:eastAsia="Times New Roman"/>
          <w:sz w:val="24"/>
          <w:szCs w:val="24"/>
        </w:rPr>
        <w:t xml:space="preserve"> was conducted</w:t>
      </w:r>
      <w:r>
        <w:rPr>
          <w:rFonts w:eastAsia="Times New Roman"/>
          <w:sz w:val="24"/>
          <w:szCs w:val="24"/>
        </w:rPr>
        <w:t>, t</w:t>
      </w:r>
      <w:r w:rsidRPr="0062406E">
        <w:rPr>
          <w:rFonts w:eastAsia="Times New Roman"/>
          <w:sz w:val="24"/>
          <w:szCs w:val="24"/>
        </w:rPr>
        <w:t xml:space="preserve">he </w:t>
      </w:r>
      <w:r w:rsidR="004D5CE0" w:rsidRPr="0062406E">
        <w:rPr>
          <w:rFonts w:eastAsia="Times New Roman"/>
          <w:sz w:val="24"/>
          <w:szCs w:val="24"/>
        </w:rPr>
        <w:t xml:space="preserve">Prometheus Payment Model </w:t>
      </w:r>
      <w:r>
        <w:rPr>
          <w:rFonts w:eastAsia="Times New Roman"/>
          <w:sz w:val="24"/>
          <w:szCs w:val="24"/>
        </w:rPr>
        <w:t>included</w:t>
      </w:r>
      <w:r w:rsidRPr="0062406E">
        <w:rPr>
          <w:rFonts w:eastAsia="Times New Roman"/>
          <w:sz w:val="24"/>
          <w:szCs w:val="24"/>
        </w:rPr>
        <w:t xml:space="preserve"> </w:t>
      </w:r>
      <w:r w:rsidR="00C75377" w:rsidRPr="0062406E">
        <w:rPr>
          <w:rFonts w:eastAsia="Times New Roman"/>
          <w:sz w:val="24"/>
          <w:szCs w:val="24"/>
        </w:rPr>
        <w:t xml:space="preserve">21 </w:t>
      </w:r>
      <w:r w:rsidR="004D5CE0" w:rsidRPr="0062406E">
        <w:rPr>
          <w:rFonts w:eastAsia="Times New Roman"/>
          <w:sz w:val="24"/>
          <w:szCs w:val="24"/>
        </w:rPr>
        <w:t xml:space="preserve">ECRs for </w:t>
      </w:r>
      <w:r w:rsidR="000F0B0C" w:rsidRPr="0062406E">
        <w:rPr>
          <w:rFonts w:eastAsia="Times New Roman"/>
          <w:sz w:val="24"/>
          <w:szCs w:val="24"/>
        </w:rPr>
        <w:t>acute medical conditions</w:t>
      </w:r>
      <w:r w:rsidR="00C81DDF">
        <w:rPr>
          <w:rFonts w:eastAsia="Times New Roman"/>
          <w:sz w:val="24"/>
          <w:szCs w:val="24"/>
        </w:rPr>
        <w:t xml:space="preserve"> and</w:t>
      </w:r>
      <w:r w:rsidR="004D5CE0" w:rsidRPr="0062406E">
        <w:rPr>
          <w:rFonts w:eastAsia="Times New Roman"/>
          <w:sz w:val="24"/>
          <w:szCs w:val="24"/>
        </w:rPr>
        <w:t xml:space="preserve"> outpatient and inpatient procedures</w:t>
      </w:r>
      <w:r w:rsidR="00595272" w:rsidRPr="0062406E">
        <w:rPr>
          <w:rFonts w:eastAsia="Times New Roman"/>
          <w:sz w:val="24"/>
          <w:szCs w:val="24"/>
        </w:rPr>
        <w:t>.</w:t>
      </w:r>
      <w:r w:rsidR="001F201F" w:rsidRPr="0062406E">
        <w:rPr>
          <w:rFonts w:eastAsia="Times New Roman"/>
          <w:sz w:val="24"/>
          <w:szCs w:val="24"/>
        </w:rPr>
        <w:t xml:space="preserve"> </w:t>
      </w:r>
      <w:r w:rsidR="00FC4A18" w:rsidRPr="0062406E">
        <w:rPr>
          <w:rFonts w:eastAsia="Times New Roman"/>
          <w:sz w:val="24"/>
          <w:szCs w:val="24"/>
        </w:rPr>
        <w:t xml:space="preserve">These 21 ECRs </w:t>
      </w:r>
      <w:r w:rsidR="00E16B0D">
        <w:rPr>
          <w:rFonts w:eastAsia="Times New Roman"/>
          <w:sz w:val="24"/>
          <w:szCs w:val="24"/>
        </w:rPr>
        <w:t>had the potential to</w:t>
      </w:r>
      <w:r w:rsidR="00FC4A18" w:rsidRPr="0062406E">
        <w:rPr>
          <w:rFonts w:eastAsia="Times New Roman"/>
          <w:sz w:val="24"/>
          <w:szCs w:val="24"/>
        </w:rPr>
        <w:t xml:space="preserve"> impact payment</w:t>
      </w:r>
      <w:r w:rsidR="00F85B77">
        <w:rPr>
          <w:rFonts w:eastAsia="Times New Roman"/>
          <w:sz w:val="24"/>
          <w:szCs w:val="24"/>
        </w:rPr>
        <w:t>s</w:t>
      </w:r>
      <w:r w:rsidR="00FC4A18" w:rsidRPr="0062406E">
        <w:rPr>
          <w:rFonts w:eastAsia="Times New Roman"/>
          <w:sz w:val="24"/>
          <w:szCs w:val="24"/>
        </w:rPr>
        <w:t xml:space="preserve"> </w:t>
      </w:r>
      <w:r w:rsidR="003945A5">
        <w:rPr>
          <w:rFonts w:eastAsia="Times New Roman"/>
          <w:sz w:val="24"/>
          <w:szCs w:val="24"/>
        </w:rPr>
        <w:t xml:space="preserve">for </w:t>
      </w:r>
      <w:r w:rsidR="00FC4A18" w:rsidRPr="0062406E">
        <w:rPr>
          <w:rFonts w:eastAsia="Times New Roman"/>
          <w:sz w:val="24"/>
          <w:szCs w:val="24"/>
        </w:rPr>
        <w:t>nearly 30</w:t>
      </w:r>
      <w:r w:rsidR="005828B0">
        <w:rPr>
          <w:rFonts w:eastAsia="Times New Roman"/>
          <w:sz w:val="24"/>
          <w:szCs w:val="24"/>
        </w:rPr>
        <w:t>%</w:t>
      </w:r>
      <w:r w:rsidR="00FC4A18" w:rsidRPr="0062406E">
        <w:rPr>
          <w:rFonts w:eastAsia="Times New Roman"/>
          <w:sz w:val="24"/>
          <w:szCs w:val="24"/>
        </w:rPr>
        <w:t xml:space="preserve"> of the entire insured </w:t>
      </w:r>
      <w:r w:rsidR="00AD1B9E">
        <w:rPr>
          <w:rFonts w:eastAsia="Times New Roman"/>
          <w:sz w:val="24"/>
          <w:szCs w:val="24"/>
        </w:rPr>
        <w:t xml:space="preserve">U.S. </w:t>
      </w:r>
      <w:r w:rsidR="00FC4A18" w:rsidRPr="0062406E">
        <w:rPr>
          <w:rFonts w:eastAsia="Times New Roman"/>
          <w:sz w:val="24"/>
          <w:szCs w:val="24"/>
        </w:rPr>
        <w:t>adult population.</w:t>
      </w:r>
      <w:r w:rsidR="00FC4A18" w:rsidRPr="0062406E">
        <w:rPr>
          <w:rStyle w:val="FootnoteReference"/>
          <w:rFonts w:eastAsia="Times New Roman"/>
          <w:sz w:val="24"/>
          <w:szCs w:val="24"/>
        </w:rPr>
        <w:footnoteReference w:id="11"/>
      </w:r>
      <w:r w:rsidR="00FC4A18" w:rsidRPr="0062406E">
        <w:rPr>
          <w:rFonts w:eastAsia="Times New Roman"/>
          <w:sz w:val="24"/>
          <w:szCs w:val="24"/>
        </w:rPr>
        <w:t xml:space="preserve"> </w:t>
      </w:r>
      <w:r w:rsidR="00AD1B9E" w:rsidRPr="0062406E">
        <w:rPr>
          <w:rFonts w:eastAsia="Times New Roman"/>
          <w:sz w:val="24"/>
          <w:szCs w:val="24"/>
        </w:rPr>
        <w:t xml:space="preserve">Due to data limitations, only seven of the 21 </w:t>
      </w:r>
      <w:r w:rsidR="00AD1B9E">
        <w:rPr>
          <w:rFonts w:eastAsia="Times New Roman"/>
          <w:sz w:val="24"/>
          <w:szCs w:val="24"/>
        </w:rPr>
        <w:t xml:space="preserve">Prometheus Payment Model </w:t>
      </w:r>
      <w:r w:rsidR="00AD1B9E" w:rsidRPr="0062406E">
        <w:rPr>
          <w:rFonts w:eastAsia="Times New Roman"/>
          <w:sz w:val="24"/>
          <w:szCs w:val="24"/>
        </w:rPr>
        <w:t xml:space="preserve">conditions </w:t>
      </w:r>
      <w:r w:rsidR="00AD1B9E">
        <w:rPr>
          <w:rFonts w:eastAsia="Times New Roman"/>
          <w:sz w:val="24"/>
          <w:szCs w:val="24"/>
        </w:rPr>
        <w:t>were</w:t>
      </w:r>
      <w:r w:rsidR="00AD1B9E" w:rsidRPr="0062406E">
        <w:rPr>
          <w:rFonts w:eastAsia="Times New Roman"/>
          <w:sz w:val="24"/>
          <w:szCs w:val="24"/>
        </w:rPr>
        <w:t xml:space="preserve"> </w:t>
      </w:r>
      <w:r w:rsidR="003945A5">
        <w:rPr>
          <w:rFonts w:eastAsia="Times New Roman"/>
          <w:sz w:val="24"/>
          <w:szCs w:val="24"/>
        </w:rPr>
        <w:t>included in t</w:t>
      </w:r>
      <w:r w:rsidR="00C81DDF">
        <w:rPr>
          <w:rFonts w:eastAsia="Times New Roman"/>
          <w:sz w:val="24"/>
          <w:szCs w:val="24"/>
        </w:rPr>
        <w:t>h</w:t>
      </w:r>
      <w:r w:rsidR="005828B0">
        <w:rPr>
          <w:rFonts w:eastAsia="Times New Roman"/>
          <w:sz w:val="24"/>
          <w:szCs w:val="24"/>
        </w:rPr>
        <w:t>is</w:t>
      </w:r>
      <w:r w:rsidR="00C81DDF">
        <w:rPr>
          <w:rFonts w:eastAsia="Times New Roman"/>
          <w:sz w:val="24"/>
          <w:szCs w:val="24"/>
        </w:rPr>
        <w:t xml:space="preserve"> simulation</w:t>
      </w:r>
      <w:r w:rsidR="00AD1B9E">
        <w:rPr>
          <w:rFonts w:eastAsia="Times New Roman"/>
          <w:sz w:val="24"/>
          <w:szCs w:val="24"/>
        </w:rPr>
        <w:t>.</w:t>
      </w:r>
    </w:p>
    <w:p w14:paraId="19C853EF" w14:textId="77777777" w:rsidR="001D0382" w:rsidRDefault="001D0382">
      <w:pPr>
        <w:rPr>
          <w:rFonts w:eastAsia="Times New Roman"/>
          <w:sz w:val="24"/>
          <w:szCs w:val="24"/>
        </w:rPr>
      </w:pPr>
      <w:r>
        <w:br w:type="page"/>
      </w:r>
    </w:p>
    <w:p w14:paraId="3548C394" w14:textId="77777777" w:rsidR="00C54ED8" w:rsidRPr="00257F70" w:rsidRDefault="00D45C36" w:rsidP="00257F70">
      <w:pPr>
        <w:spacing w:line="360" w:lineRule="auto"/>
        <w:rPr>
          <w:rFonts w:cstheme="minorHAnsi"/>
          <w:b/>
          <w:sz w:val="32"/>
          <w:szCs w:val="32"/>
        </w:rPr>
      </w:pPr>
      <w:r w:rsidRPr="00257F70">
        <w:rPr>
          <w:rFonts w:cstheme="minorHAnsi"/>
          <w:b/>
          <w:sz w:val="32"/>
          <w:szCs w:val="32"/>
        </w:rPr>
        <w:lastRenderedPageBreak/>
        <w:t xml:space="preserve">3. </w:t>
      </w:r>
      <w:r w:rsidR="00C54ED8" w:rsidRPr="00257F70">
        <w:rPr>
          <w:rFonts w:cstheme="minorHAnsi"/>
          <w:b/>
          <w:sz w:val="32"/>
          <w:szCs w:val="32"/>
        </w:rPr>
        <w:t>Methods</w:t>
      </w:r>
    </w:p>
    <w:p w14:paraId="4383D0BE" w14:textId="77777777" w:rsidR="004D5CE0" w:rsidRPr="009C480B" w:rsidRDefault="00595272" w:rsidP="005828B0">
      <w:pPr>
        <w:spacing w:before="240"/>
        <w:contextualSpacing/>
        <w:rPr>
          <w:sz w:val="24"/>
          <w:szCs w:val="24"/>
        </w:rPr>
      </w:pPr>
      <w:r w:rsidRPr="0062406E">
        <w:rPr>
          <w:rFonts w:eastAsia="Times New Roman"/>
          <w:sz w:val="24"/>
          <w:szCs w:val="24"/>
        </w:rPr>
        <w:t xml:space="preserve">This </w:t>
      </w:r>
      <w:r w:rsidR="00C54ED8">
        <w:rPr>
          <w:rFonts w:eastAsia="Times New Roman"/>
          <w:sz w:val="24"/>
          <w:szCs w:val="24"/>
        </w:rPr>
        <w:t>simulation</w:t>
      </w:r>
      <w:r w:rsidR="00C54ED8" w:rsidRPr="0062406E">
        <w:rPr>
          <w:rFonts w:eastAsia="Times New Roman"/>
          <w:sz w:val="24"/>
          <w:szCs w:val="24"/>
        </w:rPr>
        <w:t xml:space="preserve"> </w:t>
      </w:r>
      <w:r w:rsidR="00A023D9" w:rsidRPr="0062406E">
        <w:rPr>
          <w:rFonts w:eastAsia="Times New Roman"/>
          <w:sz w:val="24"/>
          <w:szCs w:val="24"/>
        </w:rPr>
        <w:t xml:space="preserve">calculated </w:t>
      </w:r>
      <w:r w:rsidR="003945A5">
        <w:rPr>
          <w:rFonts w:eastAsia="Times New Roman"/>
          <w:sz w:val="24"/>
          <w:szCs w:val="24"/>
        </w:rPr>
        <w:t>ECRs</w:t>
      </w:r>
      <w:r w:rsidR="00A023D9" w:rsidRPr="0062406E">
        <w:rPr>
          <w:rFonts w:eastAsia="Times New Roman"/>
          <w:sz w:val="24"/>
          <w:szCs w:val="24"/>
        </w:rPr>
        <w:t xml:space="preserve"> </w:t>
      </w:r>
      <w:r w:rsidR="00C81DDF">
        <w:rPr>
          <w:rFonts w:eastAsia="Times New Roman"/>
          <w:sz w:val="24"/>
          <w:szCs w:val="24"/>
        </w:rPr>
        <w:t xml:space="preserve">for patients receiving care in Massachusetts </w:t>
      </w:r>
      <w:r w:rsidR="00A023D9" w:rsidRPr="0062406E">
        <w:rPr>
          <w:rFonts w:eastAsia="Times New Roman"/>
          <w:sz w:val="24"/>
          <w:szCs w:val="24"/>
        </w:rPr>
        <w:t>for</w:t>
      </w:r>
      <w:r w:rsidRPr="0062406E">
        <w:rPr>
          <w:rFonts w:eastAsia="Times New Roman"/>
          <w:sz w:val="24"/>
          <w:szCs w:val="24"/>
        </w:rPr>
        <w:t xml:space="preserve"> </w:t>
      </w:r>
      <w:r w:rsidR="00A023D9" w:rsidRPr="0062406E">
        <w:rPr>
          <w:rFonts w:eastAsia="Times New Roman"/>
          <w:sz w:val="24"/>
          <w:szCs w:val="24"/>
        </w:rPr>
        <w:t>two</w:t>
      </w:r>
      <w:r w:rsidRPr="0062406E">
        <w:rPr>
          <w:rFonts w:eastAsia="Times New Roman"/>
          <w:sz w:val="24"/>
          <w:szCs w:val="24"/>
        </w:rPr>
        <w:t xml:space="preserve"> </w:t>
      </w:r>
      <w:r w:rsidR="00A023D9" w:rsidRPr="0062406E">
        <w:rPr>
          <w:rFonts w:eastAsia="Times New Roman"/>
          <w:sz w:val="24"/>
          <w:szCs w:val="24"/>
        </w:rPr>
        <w:t xml:space="preserve">acute </w:t>
      </w:r>
      <w:r w:rsidR="00F85B77">
        <w:rPr>
          <w:rFonts w:eastAsia="Times New Roman"/>
          <w:sz w:val="24"/>
          <w:szCs w:val="24"/>
        </w:rPr>
        <w:t xml:space="preserve">medical </w:t>
      </w:r>
      <w:r w:rsidRPr="0062406E">
        <w:rPr>
          <w:rFonts w:eastAsia="Times New Roman"/>
          <w:sz w:val="24"/>
          <w:szCs w:val="24"/>
        </w:rPr>
        <w:t>conditions</w:t>
      </w:r>
      <w:r w:rsidR="00A023D9" w:rsidRPr="0062406E">
        <w:rPr>
          <w:rFonts w:eastAsia="Times New Roman"/>
          <w:sz w:val="24"/>
          <w:szCs w:val="24"/>
        </w:rPr>
        <w:t xml:space="preserve"> and five </w:t>
      </w:r>
      <w:r w:rsidR="00F85B77" w:rsidRPr="0062406E">
        <w:rPr>
          <w:rFonts w:eastAsia="Times New Roman"/>
          <w:sz w:val="24"/>
          <w:szCs w:val="24"/>
        </w:rPr>
        <w:t>procedur</w:t>
      </w:r>
      <w:r w:rsidR="00F85B77">
        <w:rPr>
          <w:rFonts w:eastAsia="Times New Roman"/>
          <w:sz w:val="24"/>
          <w:szCs w:val="24"/>
        </w:rPr>
        <w:t>al conditions</w:t>
      </w:r>
      <w:r w:rsidR="0053092C">
        <w:rPr>
          <w:rFonts w:eastAsia="Times New Roman"/>
          <w:sz w:val="24"/>
          <w:szCs w:val="24"/>
        </w:rPr>
        <w:t xml:space="preserve"> </w:t>
      </w:r>
      <w:r w:rsidR="001F201F" w:rsidRPr="0062406E">
        <w:rPr>
          <w:rFonts w:eastAsia="Times New Roman"/>
          <w:sz w:val="24"/>
          <w:szCs w:val="24"/>
        </w:rPr>
        <w:t>(Table 1)</w:t>
      </w:r>
      <w:r w:rsidR="0053092C">
        <w:rPr>
          <w:rFonts w:eastAsia="Times New Roman"/>
          <w:sz w:val="24"/>
          <w:szCs w:val="24"/>
        </w:rPr>
        <w:t>.</w:t>
      </w:r>
      <w:r w:rsidR="004D5CE0" w:rsidRPr="0062406E">
        <w:rPr>
          <w:rStyle w:val="FootnoteReference"/>
          <w:rFonts w:eastAsia="Times New Roman"/>
          <w:sz w:val="24"/>
          <w:szCs w:val="24"/>
        </w:rPr>
        <w:footnoteReference w:id="12"/>
      </w:r>
      <w:r w:rsidR="0053092C">
        <w:rPr>
          <w:rFonts w:eastAsia="Times New Roman"/>
          <w:sz w:val="24"/>
          <w:szCs w:val="24"/>
        </w:rPr>
        <w:t xml:space="preserve">  To calculate these ECRs, 2009 enrollment and claims data </w:t>
      </w:r>
      <w:r w:rsidR="00C81DDF">
        <w:rPr>
          <w:rFonts w:eastAsia="Times New Roman"/>
          <w:sz w:val="24"/>
          <w:szCs w:val="24"/>
        </w:rPr>
        <w:t xml:space="preserve">were </w:t>
      </w:r>
      <w:r w:rsidR="005828B0">
        <w:rPr>
          <w:rFonts w:eastAsia="Times New Roman"/>
          <w:sz w:val="24"/>
          <w:szCs w:val="24"/>
        </w:rPr>
        <w:t>used.</w:t>
      </w:r>
      <w:r w:rsidR="0053092C">
        <w:rPr>
          <w:rFonts w:eastAsia="Times New Roman"/>
          <w:sz w:val="24"/>
          <w:szCs w:val="24"/>
        </w:rPr>
        <w:t xml:space="preserve"> T</w:t>
      </w:r>
      <w:r w:rsidR="00C81DDF">
        <w:rPr>
          <w:rFonts w:eastAsia="Times New Roman"/>
          <w:sz w:val="24"/>
          <w:szCs w:val="24"/>
        </w:rPr>
        <w:t>hese</w:t>
      </w:r>
      <w:r w:rsidR="0053092C">
        <w:rPr>
          <w:rFonts w:eastAsia="Times New Roman"/>
          <w:sz w:val="24"/>
          <w:szCs w:val="24"/>
        </w:rPr>
        <w:t xml:space="preserve"> data </w:t>
      </w:r>
      <w:r w:rsidR="00C81DDF">
        <w:rPr>
          <w:rFonts w:eastAsia="Times New Roman"/>
          <w:sz w:val="24"/>
          <w:szCs w:val="24"/>
        </w:rPr>
        <w:t xml:space="preserve">were </w:t>
      </w:r>
      <w:r w:rsidR="0053092C">
        <w:rPr>
          <w:rFonts w:eastAsia="Times New Roman"/>
          <w:sz w:val="24"/>
          <w:szCs w:val="24"/>
        </w:rPr>
        <w:t>submitted to the Division by three private</w:t>
      </w:r>
      <w:r w:rsidR="003945A5">
        <w:rPr>
          <w:rFonts w:eastAsia="Times New Roman"/>
          <w:sz w:val="24"/>
          <w:szCs w:val="24"/>
        </w:rPr>
        <w:t xml:space="preserve"> Massachusetts</w:t>
      </w:r>
      <w:r w:rsidR="0053092C">
        <w:rPr>
          <w:rFonts w:eastAsia="Times New Roman"/>
          <w:sz w:val="24"/>
          <w:szCs w:val="24"/>
        </w:rPr>
        <w:t xml:space="preserve"> payers</w:t>
      </w:r>
      <w:r w:rsidR="005828B0">
        <w:rPr>
          <w:rFonts w:eastAsia="Times New Roman"/>
          <w:sz w:val="24"/>
          <w:szCs w:val="24"/>
        </w:rPr>
        <w:t xml:space="preserve"> –</w:t>
      </w:r>
      <w:r w:rsidR="00C81DDF">
        <w:rPr>
          <w:rFonts w:eastAsia="Times New Roman"/>
          <w:sz w:val="24"/>
          <w:szCs w:val="24"/>
        </w:rPr>
        <w:t xml:space="preserve"> Blue Cross Blue Shield of Massachusetts, Harvard Pilgrim Health Care and ConnectiCare –</w:t>
      </w:r>
      <w:r w:rsidR="0053092C">
        <w:rPr>
          <w:rFonts w:eastAsia="Times New Roman"/>
          <w:sz w:val="24"/>
          <w:szCs w:val="24"/>
        </w:rPr>
        <w:t xml:space="preserve"> which represented an estimated 65</w:t>
      </w:r>
      <w:r w:rsidR="005828B0">
        <w:rPr>
          <w:rFonts w:eastAsia="Times New Roman"/>
          <w:sz w:val="24"/>
          <w:szCs w:val="24"/>
        </w:rPr>
        <w:t>%</w:t>
      </w:r>
      <w:r w:rsidR="0053092C">
        <w:rPr>
          <w:rFonts w:eastAsia="Times New Roman"/>
          <w:sz w:val="24"/>
          <w:szCs w:val="24"/>
        </w:rPr>
        <w:t xml:space="preserve"> of the commercially insured market in the state.  </w:t>
      </w:r>
    </w:p>
    <w:p w14:paraId="32EBE9E8" w14:textId="77777777" w:rsidR="004D5CE0" w:rsidRPr="0062406E" w:rsidRDefault="004D5CE0" w:rsidP="005828B0">
      <w:pPr>
        <w:pStyle w:val="ListParagraph"/>
        <w:numPr>
          <w:ilvl w:val="0"/>
          <w:numId w:val="4"/>
        </w:numPr>
        <w:spacing w:after="200" w:line="276" w:lineRule="auto"/>
        <w:ind w:left="806" w:hanging="446"/>
        <w:rPr>
          <w:rFonts w:asciiTheme="minorHAnsi" w:hAnsiTheme="minorHAnsi"/>
        </w:rPr>
      </w:pPr>
      <w:r w:rsidRPr="0062406E">
        <w:rPr>
          <w:rFonts w:asciiTheme="minorHAnsi" w:hAnsiTheme="minorHAnsi"/>
        </w:rPr>
        <w:t xml:space="preserve">Acute </w:t>
      </w:r>
      <w:r w:rsidR="009961CE" w:rsidRPr="0062406E">
        <w:rPr>
          <w:rFonts w:asciiTheme="minorHAnsi" w:hAnsiTheme="minorHAnsi"/>
        </w:rPr>
        <w:t xml:space="preserve">medical </w:t>
      </w:r>
      <w:r w:rsidRPr="0062406E">
        <w:rPr>
          <w:rFonts w:asciiTheme="minorHAnsi" w:hAnsiTheme="minorHAnsi"/>
        </w:rPr>
        <w:t>conditions:</w:t>
      </w:r>
    </w:p>
    <w:p w14:paraId="1F793DCD" w14:textId="77777777" w:rsidR="004D5CE0" w:rsidRPr="0062406E" w:rsidRDefault="00C81DDF" w:rsidP="005828B0">
      <w:pPr>
        <w:ind w:left="360"/>
        <w:rPr>
          <w:rFonts w:eastAsia="Times New Roman"/>
          <w:sz w:val="24"/>
          <w:szCs w:val="24"/>
        </w:rPr>
      </w:pPr>
      <w:r>
        <w:rPr>
          <w:rFonts w:eastAsia="Times New Roman"/>
          <w:sz w:val="24"/>
          <w:szCs w:val="24"/>
        </w:rPr>
        <w:t>ECRs</w:t>
      </w:r>
      <w:r w:rsidR="009764D1">
        <w:rPr>
          <w:rFonts w:eastAsia="Times New Roman"/>
          <w:sz w:val="24"/>
          <w:szCs w:val="24"/>
        </w:rPr>
        <w:t xml:space="preserve"> for a</w:t>
      </w:r>
      <w:r w:rsidR="00595272" w:rsidRPr="0062406E">
        <w:rPr>
          <w:rFonts w:eastAsia="Times New Roman"/>
          <w:sz w:val="24"/>
          <w:szCs w:val="24"/>
        </w:rPr>
        <w:t>cute</w:t>
      </w:r>
      <w:r w:rsidR="004D5CE0" w:rsidRPr="0062406E">
        <w:rPr>
          <w:rFonts w:eastAsia="Times New Roman"/>
          <w:sz w:val="24"/>
          <w:szCs w:val="24"/>
        </w:rPr>
        <w:t xml:space="preserve"> myocardial infarction (AMI</w:t>
      </w:r>
      <w:r w:rsidR="00595272" w:rsidRPr="0062406E">
        <w:rPr>
          <w:rFonts w:eastAsia="Times New Roman"/>
          <w:sz w:val="24"/>
          <w:szCs w:val="24"/>
        </w:rPr>
        <w:t>) and</w:t>
      </w:r>
      <w:r w:rsidR="003F3650" w:rsidRPr="0062406E">
        <w:rPr>
          <w:rFonts w:eastAsia="Times New Roman"/>
          <w:sz w:val="24"/>
          <w:szCs w:val="24"/>
        </w:rPr>
        <w:t xml:space="preserve"> pneumonia</w:t>
      </w:r>
      <w:r w:rsidR="009764D1">
        <w:rPr>
          <w:rFonts w:eastAsia="Times New Roman"/>
          <w:sz w:val="24"/>
          <w:szCs w:val="24"/>
        </w:rPr>
        <w:t xml:space="preserve"> </w:t>
      </w:r>
      <w:r w:rsidR="0022581E">
        <w:rPr>
          <w:rFonts w:eastAsia="Times New Roman"/>
          <w:sz w:val="24"/>
          <w:szCs w:val="24"/>
        </w:rPr>
        <w:t xml:space="preserve">are </w:t>
      </w:r>
      <w:r w:rsidR="00595272" w:rsidRPr="0062406E">
        <w:rPr>
          <w:rFonts w:eastAsia="Times New Roman"/>
          <w:sz w:val="24"/>
          <w:szCs w:val="24"/>
        </w:rPr>
        <w:t>included in this report</w:t>
      </w:r>
      <w:r w:rsidR="003F3650" w:rsidRPr="0062406E">
        <w:rPr>
          <w:rFonts w:eastAsia="Times New Roman"/>
          <w:sz w:val="24"/>
          <w:szCs w:val="24"/>
        </w:rPr>
        <w:t xml:space="preserve">. </w:t>
      </w:r>
      <w:r w:rsidR="004D5CE0" w:rsidRPr="0062406E">
        <w:rPr>
          <w:rFonts w:eastAsia="Times New Roman"/>
          <w:sz w:val="24"/>
          <w:szCs w:val="24"/>
        </w:rPr>
        <w:t xml:space="preserve">The acute medical ECRs </w:t>
      </w:r>
      <w:r w:rsidR="00A023D9" w:rsidRPr="0062406E">
        <w:rPr>
          <w:rFonts w:eastAsia="Times New Roman"/>
          <w:sz w:val="24"/>
          <w:szCs w:val="24"/>
        </w:rPr>
        <w:t>cover the index hospitalization and a thirty-</w:t>
      </w:r>
      <w:r w:rsidR="004D5CE0" w:rsidRPr="0062406E">
        <w:rPr>
          <w:rFonts w:eastAsia="Times New Roman"/>
          <w:sz w:val="24"/>
          <w:szCs w:val="24"/>
        </w:rPr>
        <w:t>day period</w:t>
      </w:r>
      <w:r w:rsidR="00404144" w:rsidRPr="0062406E">
        <w:rPr>
          <w:rFonts w:eastAsia="Times New Roman"/>
          <w:sz w:val="24"/>
          <w:szCs w:val="24"/>
        </w:rPr>
        <w:t xml:space="preserve"> </w:t>
      </w:r>
      <w:r w:rsidR="00A023D9" w:rsidRPr="0062406E">
        <w:rPr>
          <w:rFonts w:eastAsia="Times New Roman"/>
          <w:sz w:val="24"/>
          <w:szCs w:val="24"/>
        </w:rPr>
        <w:t>after</w:t>
      </w:r>
      <w:r w:rsidR="00404144" w:rsidRPr="0062406E">
        <w:rPr>
          <w:rFonts w:eastAsia="Times New Roman"/>
          <w:sz w:val="24"/>
          <w:szCs w:val="24"/>
        </w:rPr>
        <w:t xml:space="preserve"> </w:t>
      </w:r>
      <w:r w:rsidR="009764D1" w:rsidRPr="0062406E">
        <w:rPr>
          <w:rFonts w:eastAsia="Times New Roman"/>
          <w:sz w:val="24"/>
          <w:szCs w:val="24"/>
        </w:rPr>
        <w:t>discharg</w:t>
      </w:r>
      <w:r w:rsidR="009764D1">
        <w:rPr>
          <w:rFonts w:eastAsia="Times New Roman"/>
          <w:sz w:val="24"/>
          <w:szCs w:val="24"/>
        </w:rPr>
        <w:t>e</w:t>
      </w:r>
      <w:r w:rsidR="009764D1" w:rsidRPr="0062406E">
        <w:rPr>
          <w:rFonts w:eastAsia="Times New Roman"/>
          <w:sz w:val="24"/>
          <w:szCs w:val="24"/>
        </w:rPr>
        <w:t xml:space="preserve"> </w:t>
      </w:r>
      <w:r w:rsidR="00A023D9" w:rsidRPr="0062406E">
        <w:rPr>
          <w:rFonts w:eastAsia="Times New Roman"/>
          <w:sz w:val="24"/>
          <w:szCs w:val="24"/>
        </w:rPr>
        <w:t>from the index stay</w:t>
      </w:r>
      <w:r w:rsidR="004D5CE0" w:rsidRPr="0062406E">
        <w:rPr>
          <w:rFonts w:eastAsia="Times New Roman"/>
          <w:sz w:val="24"/>
          <w:szCs w:val="24"/>
        </w:rPr>
        <w:t>.</w:t>
      </w:r>
    </w:p>
    <w:p w14:paraId="0944B71F" w14:textId="77777777" w:rsidR="004D5CE0" w:rsidRPr="0062406E" w:rsidRDefault="009961CE" w:rsidP="005828B0">
      <w:pPr>
        <w:pStyle w:val="ListParagraph"/>
        <w:numPr>
          <w:ilvl w:val="0"/>
          <w:numId w:val="4"/>
        </w:numPr>
        <w:spacing w:after="200" w:line="276" w:lineRule="auto"/>
        <w:ind w:left="806" w:hanging="446"/>
        <w:rPr>
          <w:rFonts w:asciiTheme="minorHAnsi" w:hAnsiTheme="minorHAnsi"/>
        </w:rPr>
      </w:pPr>
      <w:r w:rsidRPr="0062406E">
        <w:rPr>
          <w:rFonts w:asciiTheme="minorHAnsi" w:hAnsiTheme="minorHAnsi"/>
        </w:rPr>
        <w:t>Procedural conditions</w:t>
      </w:r>
      <w:r w:rsidR="004D5CE0" w:rsidRPr="0062406E">
        <w:rPr>
          <w:rFonts w:asciiTheme="minorHAnsi" w:hAnsiTheme="minorHAnsi"/>
        </w:rPr>
        <w:t>:</w:t>
      </w:r>
    </w:p>
    <w:p w14:paraId="2C31C4FA" w14:textId="77777777" w:rsidR="0053092C" w:rsidRDefault="005A6DA3" w:rsidP="005828B0">
      <w:pPr>
        <w:ind w:left="360"/>
        <w:rPr>
          <w:rFonts w:eastAsia="Times New Roman"/>
          <w:sz w:val="24"/>
          <w:szCs w:val="24"/>
        </w:rPr>
      </w:pPr>
      <w:r w:rsidRPr="0062406E">
        <w:rPr>
          <w:rFonts w:eastAsia="Times New Roman"/>
          <w:sz w:val="24"/>
          <w:szCs w:val="24"/>
        </w:rPr>
        <w:t>Five procedural conditions are included in this report</w:t>
      </w:r>
      <w:r w:rsidR="008633DF">
        <w:rPr>
          <w:rFonts w:eastAsia="Times New Roman"/>
          <w:sz w:val="24"/>
          <w:szCs w:val="24"/>
        </w:rPr>
        <w:t>:</w:t>
      </w:r>
      <w:r w:rsidR="008633DF" w:rsidRPr="0062406E">
        <w:rPr>
          <w:rFonts w:eastAsia="Times New Roman"/>
          <w:sz w:val="24"/>
          <w:szCs w:val="24"/>
        </w:rPr>
        <w:t xml:space="preserve"> </w:t>
      </w:r>
      <w:r w:rsidR="008633DF">
        <w:rPr>
          <w:rFonts w:eastAsia="Times New Roman"/>
          <w:sz w:val="24"/>
          <w:szCs w:val="24"/>
        </w:rPr>
        <w:t>coronary artery bypass graft (CABG)</w:t>
      </w:r>
      <w:r w:rsidR="005828B0">
        <w:rPr>
          <w:rFonts w:eastAsia="Times New Roman"/>
          <w:sz w:val="24"/>
          <w:szCs w:val="24"/>
        </w:rPr>
        <w:t>,</w:t>
      </w:r>
      <w:r w:rsidR="008633DF">
        <w:rPr>
          <w:rFonts w:eastAsia="Times New Roman"/>
          <w:sz w:val="24"/>
          <w:szCs w:val="24"/>
        </w:rPr>
        <w:t xml:space="preserve"> bariatric surgery</w:t>
      </w:r>
      <w:r w:rsidR="005828B0">
        <w:rPr>
          <w:rFonts w:eastAsia="Times New Roman"/>
          <w:sz w:val="24"/>
          <w:szCs w:val="24"/>
        </w:rPr>
        <w:t>,</w:t>
      </w:r>
      <w:r w:rsidR="008633DF">
        <w:rPr>
          <w:rFonts w:eastAsia="Times New Roman"/>
          <w:sz w:val="24"/>
          <w:szCs w:val="24"/>
        </w:rPr>
        <w:t xml:space="preserve"> cholecystectomy (gallbladder surgery)</w:t>
      </w:r>
      <w:r w:rsidR="005828B0">
        <w:rPr>
          <w:rFonts w:eastAsia="Times New Roman"/>
          <w:sz w:val="24"/>
          <w:szCs w:val="24"/>
        </w:rPr>
        <w:t>,</w:t>
      </w:r>
      <w:r w:rsidR="008633DF">
        <w:rPr>
          <w:rFonts w:eastAsia="Times New Roman"/>
          <w:sz w:val="24"/>
          <w:szCs w:val="24"/>
        </w:rPr>
        <w:t xml:space="preserve"> pregnancy and delivery</w:t>
      </w:r>
      <w:r w:rsidR="005828B0">
        <w:rPr>
          <w:rFonts w:eastAsia="Times New Roman"/>
          <w:sz w:val="24"/>
          <w:szCs w:val="24"/>
        </w:rPr>
        <w:t xml:space="preserve">, </w:t>
      </w:r>
      <w:r w:rsidR="008633DF">
        <w:rPr>
          <w:rFonts w:eastAsia="Times New Roman"/>
          <w:sz w:val="24"/>
          <w:szCs w:val="24"/>
        </w:rPr>
        <w:t xml:space="preserve">and colonoscopy. </w:t>
      </w:r>
    </w:p>
    <w:p w14:paraId="0C5E84D0" w14:textId="77777777" w:rsidR="00F85B77" w:rsidRDefault="002C35FC" w:rsidP="005828B0">
      <w:pPr>
        <w:rPr>
          <w:sz w:val="24"/>
          <w:szCs w:val="24"/>
        </w:rPr>
      </w:pPr>
      <w:r>
        <w:rPr>
          <w:sz w:val="24"/>
          <w:szCs w:val="24"/>
        </w:rPr>
        <w:t xml:space="preserve">Because </w:t>
      </w:r>
      <w:r w:rsidR="0053092C">
        <w:rPr>
          <w:sz w:val="24"/>
          <w:szCs w:val="24"/>
        </w:rPr>
        <w:t>this</w:t>
      </w:r>
      <w:r>
        <w:rPr>
          <w:sz w:val="24"/>
          <w:szCs w:val="24"/>
        </w:rPr>
        <w:t xml:space="preserve"> </w:t>
      </w:r>
      <w:r w:rsidR="008633DF">
        <w:rPr>
          <w:sz w:val="24"/>
          <w:szCs w:val="24"/>
        </w:rPr>
        <w:t xml:space="preserve">analysis was performed at the </w:t>
      </w:r>
      <w:r>
        <w:rPr>
          <w:sz w:val="24"/>
          <w:szCs w:val="24"/>
        </w:rPr>
        <w:t xml:space="preserve">aggregate level, </w:t>
      </w:r>
      <w:r w:rsidR="008633DF">
        <w:rPr>
          <w:sz w:val="24"/>
          <w:szCs w:val="24"/>
        </w:rPr>
        <w:t>severity adjustment</w:t>
      </w:r>
      <w:r w:rsidR="00FD64DD">
        <w:rPr>
          <w:sz w:val="24"/>
          <w:szCs w:val="24"/>
        </w:rPr>
        <w:t>s</w:t>
      </w:r>
      <w:r w:rsidR="008633DF">
        <w:rPr>
          <w:sz w:val="24"/>
          <w:szCs w:val="24"/>
        </w:rPr>
        <w:t xml:space="preserve"> </w:t>
      </w:r>
      <w:r w:rsidR="00FD64DD">
        <w:rPr>
          <w:sz w:val="24"/>
          <w:szCs w:val="24"/>
        </w:rPr>
        <w:t xml:space="preserve">were </w:t>
      </w:r>
      <w:r w:rsidR="008633DF">
        <w:rPr>
          <w:sz w:val="24"/>
          <w:szCs w:val="24"/>
        </w:rPr>
        <w:t>not used</w:t>
      </w:r>
      <w:r w:rsidR="0053092C">
        <w:rPr>
          <w:sz w:val="24"/>
          <w:szCs w:val="24"/>
        </w:rPr>
        <w:t xml:space="preserve"> </w:t>
      </w:r>
      <w:r w:rsidR="00C81DDF">
        <w:rPr>
          <w:sz w:val="24"/>
          <w:szCs w:val="24"/>
        </w:rPr>
        <w:t xml:space="preserve">in </w:t>
      </w:r>
      <w:r w:rsidR="0053092C">
        <w:rPr>
          <w:sz w:val="24"/>
          <w:szCs w:val="24"/>
        </w:rPr>
        <w:t>the calculations</w:t>
      </w:r>
      <w:r w:rsidR="008633DF">
        <w:rPr>
          <w:sz w:val="24"/>
          <w:szCs w:val="24"/>
        </w:rPr>
        <w:t>. For more discussion on the implications of this</w:t>
      </w:r>
      <w:r w:rsidR="009764D1">
        <w:rPr>
          <w:sz w:val="24"/>
          <w:szCs w:val="24"/>
        </w:rPr>
        <w:t xml:space="preserve"> exclusion</w:t>
      </w:r>
      <w:r w:rsidR="0053092C">
        <w:rPr>
          <w:sz w:val="24"/>
          <w:szCs w:val="24"/>
        </w:rPr>
        <w:t>, among others,</w:t>
      </w:r>
      <w:r w:rsidR="008633DF">
        <w:rPr>
          <w:sz w:val="24"/>
          <w:szCs w:val="24"/>
        </w:rPr>
        <w:t xml:space="preserve"> see Section 5</w:t>
      </w:r>
      <w:r w:rsidR="00F85B77">
        <w:rPr>
          <w:sz w:val="24"/>
          <w:szCs w:val="24"/>
        </w:rPr>
        <w:t>,</w:t>
      </w:r>
      <w:r w:rsidR="008633DF">
        <w:rPr>
          <w:sz w:val="24"/>
          <w:szCs w:val="24"/>
        </w:rPr>
        <w:t xml:space="preserve"> </w:t>
      </w:r>
      <w:r w:rsidR="00F85B77">
        <w:rPr>
          <w:sz w:val="24"/>
          <w:szCs w:val="24"/>
        </w:rPr>
        <w:t>D</w:t>
      </w:r>
      <w:r w:rsidR="008633DF">
        <w:rPr>
          <w:sz w:val="24"/>
          <w:szCs w:val="24"/>
        </w:rPr>
        <w:t xml:space="preserve">ata </w:t>
      </w:r>
      <w:r w:rsidR="00F85B77">
        <w:rPr>
          <w:sz w:val="24"/>
          <w:szCs w:val="24"/>
        </w:rPr>
        <w:t>L</w:t>
      </w:r>
      <w:r w:rsidR="008633DF">
        <w:rPr>
          <w:sz w:val="24"/>
          <w:szCs w:val="24"/>
        </w:rPr>
        <w:t>imitations</w:t>
      </w:r>
      <w:r w:rsidR="003945A5">
        <w:rPr>
          <w:sz w:val="24"/>
          <w:szCs w:val="24"/>
        </w:rPr>
        <w:t xml:space="preserve"> and Assumptions</w:t>
      </w:r>
      <w:r w:rsidR="008633DF">
        <w:rPr>
          <w:sz w:val="24"/>
          <w:szCs w:val="24"/>
        </w:rPr>
        <w:t>.</w:t>
      </w:r>
      <w:r w:rsidR="00C81DDF">
        <w:rPr>
          <w:rStyle w:val="FootnoteReference"/>
          <w:sz w:val="24"/>
          <w:szCs w:val="24"/>
        </w:rPr>
        <w:footnoteReference w:id="13"/>
      </w:r>
      <w:r w:rsidR="008633DF">
        <w:rPr>
          <w:sz w:val="24"/>
          <w:szCs w:val="24"/>
        </w:rPr>
        <w:t xml:space="preserve"> </w:t>
      </w:r>
    </w:p>
    <w:p w14:paraId="2119D8CF" w14:textId="77777777" w:rsidR="001F201F" w:rsidRPr="0062406E" w:rsidRDefault="001F201F" w:rsidP="00683564">
      <w:pPr>
        <w:spacing w:after="0"/>
        <w:jc w:val="both"/>
        <w:rPr>
          <w:b/>
          <w:sz w:val="24"/>
          <w:szCs w:val="24"/>
        </w:rPr>
      </w:pPr>
      <w:r w:rsidRPr="0062406E">
        <w:rPr>
          <w:b/>
          <w:sz w:val="24"/>
          <w:szCs w:val="24"/>
        </w:rPr>
        <w:t>Table 1: Overview of ECRs</w:t>
      </w:r>
      <w:r w:rsidR="00164B04">
        <w:rPr>
          <w:b/>
          <w:sz w:val="24"/>
          <w:szCs w:val="24"/>
        </w:rPr>
        <w:t xml:space="preserve"> in this Simulation</w:t>
      </w:r>
    </w:p>
    <w:tbl>
      <w:tblPr>
        <w:tblStyle w:val="TableGrid"/>
        <w:tblW w:w="0" w:type="auto"/>
        <w:tblLook w:val="04A0" w:firstRow="1" w:lastRow="0" w:firstColumn="1" w:lastColumn="0" w:noHBand="0" w:noVBand="1"/>
      </w:tblPr>
      <w:tblGrid>
        <w:gridCol w:w="1998"/>
        <w:gridCol w:w="2250"/>
        <w:gridCol w:w="2700"/>
        <w:gridCol w:w="2628"/>
      </w:tblGrid>
      <w:tr w:rsidR="009818DE" w:rsidRPr="0062406E" w14:paraId="5EF92704" w14:textId="77777777" w:rsidTr="009818DE">
        <w:trPr>
          <w:trHeight w:val="144"/>
        </w:trPr>
        <w:tc>
          <w:tcPr>
            <w:tcW w:w="1998" w:type="dxa"/>
            <w:vMerge w:val="restart"/>
            <w:vAlign w:val="center"/>
          </w:tcPr>
          <w:p w14:paraId="779F4E58" w14:textId="77777777" w:rsidR="009818DE" w:rsidRPr="009818DE" w:rsidRDefault="009818DE" w:rsidP="009818DE">
            <w:pPr>
              <w:pStyle w:val="NoSpacing"/>
              <w:spacing w:line="276" w:lineRule="auto"/>
              <w:jc w:val="center"/>
              <w:rPr>
                <w:b/>
              </w:rPr>
            </w:pPr>
            <w:bookmarkStart w:id="0" w:name="OLE_LINK1"/>
            <w:r w:rsidRPr="009818DE">
              <w:rPr>
                <w:b/>
              </w:rPr>
              <w:t>ECR Category</w:t>
            </w:r>
          </w:p>
        </w:tc>
        <w:tc>
          <w:tcPr>
            <w:tcW w:w="2250" w:type="dxa"/>
            <w:vMerge w:val="restart"/>
            <w:vAlign w:val="center"/>
          </w:tcPr>
          <w:p w14:paraId="358D7B4F" w14:textId="77777777" w:rsidR="009818DE" w:rsidRPr="009818DE" w:rsidRDefault="009818DE" w:rsidP="009818DE">
            <w:pPr>
              <w:pStyle w:val="NoSpacing"/>
              <w:spacing w:line="276" w:lineRule="auto"/>
              <w:jc w:val="center"/>
              <w:rPr>
                <w:b/>
              </w:rPr>
            </w:pPr>
            <w:r w:rsidRPr="009818DE">
              <w:rPr>
                <w:b/>
              </w:rPr>
              <w:t>ECR Description</w:t>
            </w:r>
          </w:p>
        </w:tc>
        <w:tc>
          <w:tcPr>
            <w:tcW w:w="5328" w:type="dxa"/>
            <w:gridSpan w:val="2"/>
          </w:tcPr>
          <w:p w14:paraId="0FC04A90" w14:textId="77777777" w:rsidR="009818DE" w:rsidRPr="009818DE" w:rsidRDefault="009818DE" w:rsidP="006E2DCF">
            <w:pPr>
              <w:pStyle w:val="NoSpacing"/>
              <w:spacing w:line="276" w:lineRule="auto"/>
              <w:jc w:val="center"/>
              <w:rPr>
                <w:b/>
              </w:rPr>
            </w:pPr>
            <w:r w:rsidRPr="009818DE">
              <w:rPr>
                <w:b/>
              </w:rPr>
              <w:t>ECR Time Window</w:t>
            </w:r>
          </w:p>
        </w:tc>
      </w:tr>
      <w:tr w:rsidR="009818DE" w:rsidRPr="0062406E" w14:paraId="7F3C5178" w14:textId="77777777" w:rsidTr="009818DE">
        <w:trPr>
          <w:trHeight w:val="144"/>
        </w:trPr>
        <w:tc>
          <w:tcPr>
            <w:tcW w:w="1998" w:type="dxa"/>
            <w:vMerge/>
          </w:tcPr>
          <w:p w14:paraId="175AA0D8" w14:textId="77777777" w:rsidR="009818DE" w:rsidRPr="0062406E" w:rsidRDefault="009818DE" w:rsidP="006E2DCF">
            <w:pPr>
              <w:pStyle w:val="NoSpacing"/>
              <w:spacing w:line="276" w:lineRule="auto"/>
            </w:pPr>
          </w:p>
        </w:tc>
        <w:tc>
          <w:tcPr>
            <w:tcW w:w="2250" w:type="dxa"/>
            <w:vMerge/>
          </w:tcPr>
          <w:p w14:paraId="0AD93086" w14:textId="77777777" w:rsidR="009818DE" w:rsidRPr="0062406E" w:rsidRDefault="009818DE" w:rsidP="006E2DCF">
            <w:pPr>
              <w:pStyle w:val="NoSpacing"/>
              <w:spacing w:line="276" w:lineRule="auto"/>
            </w:pPr>
          </w:p>
        </w:tc>
        <w:tc>
          <w:tcPr>
            <w:tcW w:w="2700" w:type="dxa"/>
          </w:tcPr>
          <w:p w14:paraId="4927450B" w14:textId="77777777" w:rsidR="009818DE" w:rsidRPr="009818DE" w:rsidRDefault="009818DE" w:rsidP="006E2DCF">
            <w:pPr>
              <w:pStyle w:val="NoSpacing"/>
              <w:spacing w:line="276" w:lineRule="auto"/>
              <w:rPr>
                <w:b/>
                <w:i/>
              </w:rPr>
            </w:pPr>
            <w:r w:rsidRPr="009818DE">
              <w:rPr>
                <w:b/>
                <w:i/>
              </w:rPr>
              <w:t>Look-Back Period</w:t>
            </w:r>
          </w:p>
        </w:tc>
        <w:tc>
          <w:tcPr>
            <w:tcW w:w="2628" w:type="dxa"/>
          </w:tcPr>
          <w:p w14:paraId="029091F7" w14:textId="77777777" w:rsidR="009818DE" w:rsidRPr="009818DE" w:rsidRDefault="009818DE" w:rsidP="006E2DCF">
            <w:pPr>
              <w:pStyle w:val="NoSpacing"/>
              <w:spacing w:line="276" w:lineRule="auto"/>
              <w:rPr>
                <w:b/>
                <w:i/>
              </w:rPr>
            </w:pPr>
            <w:r w:rsidRPr="009818DE">
              <w:rPr>
                <w:b/>
                <w:i/>
              </w:rPr>
              <w:t>Look-Forward Period</w:t>
            </w:r>
          </w:p>
        </w:tc>
      </w:tr>
      <w:tr w:rsidR="009272B0" w:rsidRPr="0062406E" w14:paraId="56DA8DA7" w14:textId="77777777" w:rsidTr="003945A5">
        <w:trPr>
          <w:trHeight w:val="144"/>
        </w:trPr>
        <w:tc>
          <w:tcPr>
            <w:tcW w:w="1998" w:type="dxa"/>
            <w:vMerge w:val="restart"/>
            <w:vAlign w:val="center"/>
          </w:tcPr>
          <w:p w14:paraId="480E7742" w14:textId="77777777" w:rsidR="009272B0" w:rsidRPr="0062406E" w:rsidRDefault="009961CE" w:rsidP="003945A5">
            <w:pPr>
              <w:pStyle w:val="NoSpacing"/>
              <w:spacing w:line="276" w:lineRule="auto"/>
            </w:pPr>
            <w:r w:rsidRPr="0062406E">
              <w:t>Acute</w:t>
            </w:r>
            <w:r w:rsidR="009272B0" w:rsidRPr="0062406E">
              <w:t xml:space="preserve"> Medical ECR</w:t>
            </w:r>
            <w:r w:rsidR="009818DE">
              <w:t>s</w:t>
            </w:r>
          </w:p>
        </w:tc>
        <w:tc>
          <w:tcPr>
            <w:tcW w:w="2250" w:type="dxa"/>
            <w:vAlign w:val="center"/>
          </w:tcPr>
          <w:p w14:paraId="6E0209E6" w14:textId="77777777" w:rsidR="009272B0" w:rsidRPr="0062406E" w:rsidRDefault="005A6DA3" w:rsidP="003945A5">
            <w:pPr>
              <w:pStyle w:val="NoSpacing"/>
              <w:spacing w:line="276" w:lineRule="auto"/>
            </w:pPr>
            <w:r w:rsidRPr="0062406E">
              <w:t>AMI</w:t>
            </w:r>
          </w:p>
        </w:tc>
        <w:tc>
          <w:tcPr>
            <w:tcW w:w="2700" w:type="dxa"/>
            <w:vMerge w:val="restart"/>
            <w:vAlign w:val="center"/>
          </w:tcPr>
          <w:p w14:paraId="5F429E1C" w14:textId="77777777" w:rsidR="009272B0" w:rsidRPr="0062406E" w:rsidRDefault="009272B0" w:rsidP="00501CD4">
            <w:pPr>
              <w:pStyle w:val="NoSpacing"/>
              <w:spacing w:line="276" w:lineRule="auto"/>
              <w:rPr>
                <w:rFonts w:cs="Arial"/>
                <w:bCs/>
                <w:color w:val="000000"/>
              </w:rPr>
            </w:pPr>
            <w:r w:rsidRPr="0062406E">
              <w:rPr>
                <w:rFonts w:cs="Arial"/>
                <w:bCs/>
                <w:color w:val="000000"/>
              </w:rPr>
              <w:t>0 days</w:t>
            </w:r>
          </w:p>
        </w:tc>
        <w:tc>
          <w:tcPr>
            <w:tcW w:w="2628" w:type="dxa"/>
            <w:vMerge w:val="restart"/>
            <w:vAlign w:val="center"/>
          </w:tcPr>
          <w:p w14:paraId="19B88532" w14:textId="77777777" w:rsidR="009272B0" w:rsidRPr="0062406E" w:rsidRDefault="009272B0" w:rsidP="00501CD4">
            <w:pPr>
              <w:pStyle w:val="NoSpacing"/>
              <w:spacing w:line="276" w:lineRule="auto"/>
              <w:rPr>
                <w:rFonts w:cs="Arial"/>
                <w:bCs/>
                <w:color w:val="000000"/>
              </w:rPr>
            </w:pPr>
            <w:r w:rsidRPr="0062406E">
              <w:rPr>
                <w:rFonts w:cs="Arial"/>
                <w:bCs/>
                <w:color w:val="000000"/>
              </w:rPr>
              <w:t>30 days post-discharge after index stay</w:t>
            </w:r>
          </w:p>
        </w:tc>
      </w:tr>
      <w:tr w:rsidR="00252B92" w:rsidRPr="0062406E" w14:paraId="3FC7C215" w14:textId="77777777" w:rsidTr="003945A5">
        <w:trPr>
          <w:trHeight w:val="144"/>
        </w:trPr>
        <w:tc>
          <w:tcPr>
            <w:tcW w:w="1998" w:type="dxa"/>
            <w:vMerge/>
          </w:tcPr>
          <w:p w14:paraId="19792C3E" w14:textId="77777777" w:rsidR="00252B92" w:rsidRPr="0062406E" w:rsidRDefault="00252B92" w:rsidP="006E2DCF">
            <w:pPr>
              <w:pStyle w:val="NoSpacing"/>
              <w:spacing w:line="276" w:lineRule="auto"/>
            </w:pPr>
          </w:p>
        </w:tc>
        <w:tc>
          <w:tcPr>
            <w:tcW w:w="2250" w:type="dxa"/>
            <w:vAlign w:val="center"/>
          </w:tcPr>
          <w:p w14:paraId="58A30191" w14:textId="77777777" w:rsidR="00252B92" w:rsidRPr="0062406E" w:rsidRDefault="00252B92" w:rsidP="003945A5">
            <w:pPr>
              <w:pStyle w:val="NoSpacing"/>
              <w:spacing w:line="276" w:lineRule="auto"/>
            </w:pPr>
            <w:r w:rsidRPr="0062406E">
              <w:t>Pneumonia</w:t>
            </w:r>
          </w:p>
        </w:tc>
        <w:tc>
          <w:tcPr>
            <w:tcW w:w="2700" w:type="dxa"/>
            <w:vMerge/>
            <w:vAlign w:val="center"/>
          </w:tcPr>
          <w:p w14:paraId="007FF69D" w14:textId="77777777" w:rsidR="00252B92" w:rsidRPr="0062406E" w:rsidRDefault="00252B92">
            <w:pPr>
              <w:pStyle w:val="NoSpacing"/>
              <w:spacing w:line="276" w:lineRule="auto"/>
            </w:pPr>
          </w:p>
        </w:tc>
        <w:tc>
          <w:tcPr>
            <w:tcW w:w="2628" w:type="dxa"/>
            <w:vMerge/>
            <w:vAlign w:val="center"/>
          </w:tcPr>
          <w:p w14:paraId="48249DD5" w14:textId="77777777" w:rsidR="00252B92" w:rsidRPr="0062406E" w:rsidRDefault="00252B92">
            <w:pPr>
              <w:pStyle w:val="NoSpacing"/>
              <w:spacing w:line="276" w:lineRule="auto"/>
            </w:pPr>
          </w:p>
        </w:tc>
      </w:tr>
      <w:tr w:rsidR="009961CE" w:rsidRPr="0062406E" w14:paraId="2C415F76" w14:textId="77777777" w:rsidTr="003945A5">
        <w:trPr>
          <w:trHeight w:val="144"/>
        </w:trPr>
        <w:tc>
          <w:tcPr>
            <w:tcW w:w="1998" w:type="dxa"/>
            <w:vMerge w:val="restart"/>
            <w:vAlign w:val="center"/>
          </w:tcPr>
          <w:p w14:paraId="6D6D6C6E" w14:textId="77777777" w:rsidR="009961CE" w:rsidRPr="0062406E" w:rsidRDefault="009961CE" w:rsidP="003945A5">
            <w:pPr>
              <w:pStyle w:val="NoSpacing"/>
              <w:spacing w:line="276" w:lineRule="auto"/>
            </w:pPr>
            <w:r w:rsidRPr="0062406E">
              <w:t>Procedural ECR</w:t>
            </w:r>
            <w:r w:rsidR="009818DE">
              <w:t>s</w:t>
            </w:r>
          </w:p>
        </w:tc>
        <w:tc>
          <w:tcPr>
            <w:tcW w:w="2250" w:type="dxa"/>
            <w:vAlign w:val="center"/>
          </w:tcPr>
          <w:p w14:paraId="19E598C5" w14:textId="77777777" w:rsidR="009961CE" w:rsidRPr="0062406E" w:rsidRDefault="005A6DA3" w:rsidP="003945A5">
            <w:pPr>
              <w:pStyle w:val="NoSpacing"/>
              <w:spacing w:line="276" w:lineRule="auto"/>
            </w:pPr>
            <w:r w:rsidRPr="0062406E">
              <w:t>CABG</w:t>
            </w:r>
          </w:p>
        </w:tc>
        <w:tc>
          <w:tcPr>
            <w:tcW w:w="2700" w:type="dxa"/>
            <w:vMerge w:val="restart"/>
            <w:vAlign w:val="center"/>
          </w:tcPr>
          <w:p w14:paraId="18228B1F" w14:textId="77777777" w:rsidR="009961CE" w:rsidRPr="0062406E" w:rsidRDefault="009961CE" w:rsidP="00501CD4">
            <w:pPr>
              <w:pStyle w:val="NoSpacing"/>
              <w:spacing w:line="276" w:lineRule="auto"/>
              <w:rPr>
                <w:rFonts w:cs="Arial"/>
                <w:bCs/>
                <w:color w:val="000000"/>
              </w:rPr>
            </w:pPr>
            <w:r w:rsidRPr="0062406E">
              <w:rPr>
                <w:rFonts w:cs="Arial"/>
                <w:bCs/>
                <w:color w:val="000000"/>
              </w:rPr>
              <w:t>30 days prior to index admit date</w:t>
            </w:r>
          </w:p>
        </w:tc>
        <w:tc>
          <w:tcPr>
            <w:tcW w:w="2628" w:type="dxa"/>
            <w:vMerge w:val="restart"/>
            <w:vAlign w:val="center"/>
          </w:tcPr>
          <w:p w14:paraId="003FD7AB" w14:textId="77777777" w:rsidR="009961CE" w:rsidRPr="0062406E" w:rsidRDefault="009961CE" w:rsidP="00501CD4">
            <w:pPr>
              <w:pStyle w:val="NoSpacing"/>
              <w:spacing w:line="276" w:lineRule="auto"/>
              <w:rPr>
                <w:rFonts w:cs="Arial"/>
                <w:bCs/>
                <w:color w:val="000000"/>
              </w:rPr>
            </w:pPr>
            <w:r w:rsidRPr="0062406E">
              <w:rPr>
                <w:rFonts w:cs="Arial"/>
                <w:bCs/>
                <w:color w:val="000000"/>
              </w:rPr>
              <w:t>180 days post-discharge after index day</w:t>
            </w:r>
          </w:p>
        </w:tc>
      </w:tr>
      <w:tr w:rsidR="009961CE" w:rsidRPr="0062406E" w14:paraId="40B1107B" w14:textId="77777777" w:rsidTr="003945A5">
        <w:trPr>
          <w:trHeight w:val="144"/>
        </w:trPr>
        <w:tc>
          <w:tcPr>
            <w:tcW w:w="1998" w:type="dxa"/>
            <w:vMerge/>
          </w:tcPr>
          <w:p w14:paraId="62F80F61" w14:textId="77777777" w:rsidR="009961CE" w:rsidRPr="0062406E" w:rsidRDefault="009961CE" w:rsidP="006E2DCF">
            <w:pPr>
              <w:pStyle w:val="NoSpacing"/>
              <w:spacing w:line="276" w:lineRule="auto"/>
            </w:pPr>
          </w:p>
        </w:tc>
        <w:tc>
          <w:tcPr>
            <w:tcW w:w="2250" w:type="dxa"/>
            <w:vAlign w:val="center"/>
          </w:tcPr>
          <w:p w14:paraId="6172D879" w14:textId="77777777" w:rsidR="009961CE" w:rsidRPr="0062406E" w:rsidRDefault="009961CE" w:rsidP="003945A5">
            <w:pPr>
              <w:pStyle w:val="NoSpacing"/>
              <w:spacing w:line="276" w:lineRule="auto"/>
            </w:pPr>
            <w:r w:rsidRPr="0062406E">
              <w:t>Bariatric Surgery</w:t>
            </w:r>
          </w:p>
        </w:tc>
        <w:tc>
          <w:tcPr>
            <w:tcW w:w="2700" w:type="dxa"/>
            <w:vMerge/>
            <w:vAlign w:val="center"/>
          </w:tcPr>
          <w:p w14:paraId="0DE78ACD" w14:textId="77777777" w:rsidR="009961CE" w:rsidRPr="0062406E" w:rsidRDefault="009961CE">
            <w:pPr>
              <w:pStyle w:val="NoSpacing"/>
              <w:spacing w:line="276" w:lineRule="auto"/>
            </w:pPr>
          </w:p>
        </w:tc>
        <w:tc>
          <w:tcPr>
            <w:tcW w:w="2628" w:type="dxa"/>
            <w:vMerge/>
            <w:vAlign w:val="center"/>
          </w:tcPr>
          <w:p w14:paraId="06C4A315" w14:textId="77777777" w:rsidR="009961CE" w:rsidRPr="0062406E" w:rsidRDefault="009961CE">
            <w:pPr>
              <w:pStyle w:val="NoSpacing"/>
              <w:spacing w:line="276" w:lineRule="auto"/>
            </w:pPr>
          </w:p>
        </w:tc>
      </w:tr>
      <w:tr w:rsidR="009961CE" w:rsidRPr="0062406E" w14:paraId="23A24BA8" w14:textId="77777777" w:rsidTr="003945A5">
        <w:trPr>
          <w:trHeight w:val="144"/>
        </w:trPr>
        <w:tc>
          <w:tcPr>
            <w:tcW w:w="1998" w:type="dxa"/>
            <w:vMerge/>
          </w:tcPr>
          <w:p w14:paraId="63D20CD5" w14:textId="77777777" w:rsidR="009961CE" w:rsidRPr="0062406E" w:rsidRDefault="009961CE" w:rsidP="006E2DCF">
            <w:pPr>
              <w:pStyle w:val="NoSpacing"/>
              <w:spacing w:line="276" w:lineRule="auto"/>
            </w:pPr>
          </w:p>
        </w:tc>
        <w:tc>
          <w:tcPr>
            <w:tcW w:w="2250" w:type="dxa"/>
            <w:vAlign w:val="center"/>
          </w:tcPr>
          <w:p w14:paraId="0C433288" w14:textId="77777777" w:rsidR="009961CE" w:rsidRPr="0062406E" w:rsidRDefault="005A6DA3" w:rsidP="003945A5">
            <w:pPr>
              <w:pStyle w:val="NoSpacing"/>
              <w:spacing w:line="276" w:lineRule="auto"/>
            </w:pPr>
            <w:r w:rsidRPr="0062406E">
              <w:t>Gallbladder surgery</w:t>
            </w:r>
          </w:p>
          <w:p w14:paraId="08F63525" w14:textId="77777777" w:rsidR="009961CE" w:rsidRPr="0062406E" w:rsidRDefault="009961CE" w:rsidP="003945A5">
            <w:pPr>
              <w:pStyle w:val="NoSpacing"/>
              <w:spacing w:line="276" w:lineRule="auto"/>
            </w:pPr>
          </w:p>
        </w:tc>
        <w:tc>
          <w:tcPr>
            <w:tcW w:w="2700" w:type="dxa"/>
            <w:vAlign w:val="center"/>
          </w:tcPr>
          <w:p w14:paraId="68618695" w14:textId="77777777" w:rsidR="009961CE" w:rsidRPr="0062406E" w:rsidRDefault="009961CE" w:rsidP="00501CD4">
            <w:pPr>
              <w:pStyle w:val="NoSpacing"/>
              <w:spacing w:line="276" w:lineRule="auto"/>
              <w:rPr>
                <w:rFonts w:cs="Arial"/>
                <w:bCs/>
                <w:color w:val="000000"/>
              </w:rPr>
            </w:pPr>
            <w:r w:rsidRPr="0062406E">
              <w:rPr>
                <w:rFonts w:cs="Arial"/>
                <w:bCs/>
                <w:color w:val="000000"/>
              </w:rPr>
              <w:t>60 days prior index procedure</w:t>
            </w:r>
          </w:p>
        </w:tc>
        <w:tc>
          <w:tcPr>
            <w:tcW w:w="2628" w:type="dxa"/>
            <w:vAlign w:val="center"/>
          </w:tcPr>
          <w:p w14:paraId="0075008A" w14:textId="77777777" w:rsidR="009961CE" w:rsidRPr="0062406E" w:rsidRDefault="009961CE" w:rsidP="00501CD4">
            <w:pPr>
              <w:pStyle w:val="NoSpacing"/>
              <w:spacing w:line="276" w:lineRule="auto"/>
              <w:rPr>
                <w:rFonts w:cs="Arial"/>
                <w:bCs/>
                <w:color w:val="000000"/>
              </w:rPr>
            </w:pPr>
            <w:r w:rsidRPr="0062406E">
              <w:rPr>
                <w:rFonts w:cs="Arial"/>
                <w:bCs/>
                <w:color w:val="000000"/>
              </w:rPr>
              <w:t>180 days post-discharge after index procedure</w:t>
            </w:r>
          </w:p>
        </w:tc>
      </w:tr>
      <w:tr w:rsidR="009961CE" w:rsidRPr="0062406E" w14:paraId="6B9FD5E6" w14:textId="77777777" w:rsidTr="003945A5">
        <w:trPr>
          <w:trHeight w:val="144"/>
        </w:trPr>
        <w:tc>
          <w:tcPr>
            <w:tcW w:w="1998" w:type="dxa"/>
            <w:vMerge/>
          </w:tcPr>
          <w:p w14:paraId="243D353D" w14:textId="77777777" w:rsidR="009961CE" w:rsidRPr="0062406E" w:rsidRDefault="009961CE" w:rsidP="006E2DCF">
            <w:pPr>
              <w:pStyle w:val="NoSpacing"/>
              <w:spacing w:line="276" w:lineRule="auto"/>
            </w:pPr>
          </w:p>
        </w:tc>
        <w:tc>
          <w:tcPr>
            <w:tcW w:w="2250" w:type="dxa"/>
            <w:vAlign w:val="center"/>
          </w:tcPr>
          <w:p w14:paraId="5B3035E5" w14:textId="77777777" w:rsidR="009961CE" w:rsidRPr="0062406E" w:rsidRDefault="009961CE" w:rsidP="003945A5">
            <w:pPr>
              <w:pStyle w:val="NoSpacing"/>
              <w:spacing w:line="276" w:lineRule="auto"/>
            </w:pPr>
            <w:r w:rsidRPr="0062406E">
              <w:t>Pregnancy and Delivery</w:t>
            </w:r>
          </w:p>
        </w:tc>
        <w:tc>
          <w:tcPr>
            <w:tcW w:w="2700" w:type="dxa"/>
            <w:vAlign w:val="center"/>
          </w:tcPr>
          <w:p w14:paraId="63907462" w14:textId="77777777" w:rsidR="009961CE" w:rsidRPr="0062406E" w:rsidRDefault="009961CE" w:rsidP="00501CD4">
            <w:pPr>
              <w:pStyle w:val="NoSpacing"/>
              <w:spacing w:line="276" w:lineRule="auto"/>
              <w:rPr>
                <w:rFonts w:cs="Arial"/>
                <w:bCs/>
                <w:color w:val="000000"/>
              </w:rPr>
            </w:pPr>
            <w:r w:rsidRPr="0062406E">
              <w:rPr>
                <w:rFonts w:cs="Arial"/>
                <w:bCs/>
                <w:color w:val="000000"/>
              </w:rPr>
              <w:t xml:space="preserve">First definitive diagnosis of pregnancy; or 9 months (36 weeks) prior to admit date </w:t>
            </w:r>
            <w:r w:rsidRPr="0062406E">
              <w:rPr>
                <w:rFonts w:cs="Arial"/>
                <w:bCs/>
                <w:color w:val="000000"/>
              </w:rPr>
              <w:lastRenderedPageBreak/>
              <w:t>for delivery</w:t>
            </w:r>
          </w:p>
        </w:tc>
        <w:tc>
          <w:tcPr>
            <w:tcW w:w="2628" w:type="dxa"/>
            <w:vAlign w:val="center"/>
          </w:tcPr>
          <w:p w14:paraId="37CDC232" w14:textId="77777777" w:rsidR="009961CE" w:rsidRPr="0062406E" w:rsidRDefault="009961CE" w:rsidP="00501CD4">
            <w:pPr>
              <w:pStyle w:val="NoSpacing"/>
              <w:spacing w:line="276" w:lineRule="auto"/>
              <w:rPr>
                <w:rFonts w:cs="Arial"/>
                <w:bCs/>
                <w:color w:val="000000"/>
              </w:rPr>
            </w:pPr>
            <w:r w:rsidRPr="0062406E">
              <w:rPr>
                <w:rFonts w:cs="Arial"/>
                <w:bCs/>
                <w:color w:val="000000"/>
              </w:rPr>
              <w:lastRenderedPageBreak/>
              <w:t>2 months (8 weeks) after discharge from delivery</w:t>
            </w:r>
          </w:p>
        </w:tc>
      </w:tr>
      <w:tr w:rsidR="009961CE" w:rsidRPr="0062406E" w14:paraId="05DF9D3C" w14:textId="77777777" w:rsidTr="003945A5">
        <w:trPr>
          <w:trHeight w:val="144"/>
        </w:trPr>
        <w:tc>
          <w:tcPr>
            <w:tcW w:w="1998" w:type="dxa"/>
            <w:vMerge/>
          </w:tcPr>
          <w:p w14:paraId="6DDDBB4F" w14:textId="77777777" w:rsidR="009961CE" w:rsidRPr="0062406E" w:rsidRDefault="009961CE" w:rsidP="006E2DCF">
            <w:pPr>
              <w:pStyle w:val="NoSpacing"/>
              <w:spacing w:line="276" w:lineRule="auto"/>
            </w:pPr>
          </w:p>
        </w:tc>
        <w:tc>
          <w:tcPr>
            <w:tcW w:w="2250" w:type="dxa"/>
            <w:vAlign w:val="center"/>
          </w:tcPr>
          <w:p w14:paraId="6E67AF1F" w14:textId="77777777" w:rsidR="009961CE" w:rsidRPr="0062406E" w:rsidRDefault="009961CE" w:rsidP="003945A5">
            <w:pPr>
              <w:pStyle w:val="NoSpacing"/>
              <w:spacing w:line="276" w:lineRule="auto"/>
            </w:pPr>
            <w:r w:rsidRPr="0062406E">
              <w:t>Colonoscopy</w:t>
            </w:r>
          </w:p>
        </w:tc>
        <w:tc>
          <w:tcPr>
            <w:tcW w:w="2700" w:type="dxa"/>
            <w:vAlign w:val="center"/>
          </w:tcPr>
          <w:p w14:paraId="1AB627FB" w14:textId="77777777" w:rsidR="009961CE" w:rsidRPr="0062406E" w:rsidRDefault="009961CE" w:rsidP="00501CD4">
            <w:pPr>
              <w:pStyle w:val="NoSpacing"/>
              <w:spacing w:line="276" w:lineRule="auto"/>
              <w:rPr>
                <w:rFonts w:cs="Arial"/>
                <w:bCs/>
                <w:color w:val="000000"/>
              </w:rPr>
            </w:pPr>
            <w:r w:rsidRPr="0062406E">
              <w:rPr>
                <w:rFonts w:cs="Arial"/>
                <w:bCs/>
                <w:color w:val="000000"/>
              </w:rPr>
              <w:t>7 days</w:t>
            </w:r>
          </w:p>
        </w:tc>
        <w:tc>
          <w:tcPr>
            <w:tcW w:w="2628" w:type="dxa"/>
            <w:vAlign w:val="center"/>
          </w:tcPr>
          <w:p w14:paraId="59289B6D" w14:textId="77777777" w:rsidR="009961CE" w:rsidRPr="0062406E" w:rsidRDefault="009961CE" w:rsidP="00501CD4">
            <w:pPr>
              <w:pStyle w:val="NoSpacing"/>
              <w:spacing w:line="276" w:lineRule="auto"/>
              <w:rPr>
                <w:rFonts w:cs="Arial"/>
                <w:bCs/>
                <w:color w:val="000000"/>
              </w:rPr>
            </w:pPr>
            <w:r w:rsidRPr="0062406E">
              <w:rPr>
                <w:rFonts w:cs="Arial"/>
                <w:bCs/>
                <w:color w:val="000000"/>
              </w:rPr>
              <w:t xml:space="preserve">30 days post-discharge after index </w:t>
            </w:r>
            <w:r w:rsidR="005A6DA3" w:rsidRPr="0062406E">
              <w:rPr>
                <w:rFonts w:cs="Arial"/>
                <w:bCs/>
                <w:color w:val="000000"/>
              </w:rPr>
              <w:t>procedure</w:t>
            </w:r>
          </w:p>
        </w:tc>
      </w:tr>
      <w:bookmarkEnd w:id="0"/>
    </w:tbl>
    <w:p w14:paraId="6E9FCB34" w14:textId="77777777" w:rsidR="001D0382" w:rsidRDefault="001D0382" w:rsidP="00C10AC6">
      <w:pPr>
        <w:rPr>
          <w:b/>
          <w:sz w:val="32"/>
          <w:szCs w:val="32"/>
        </w:rPr>
      </w:pPr>
    </w:p>
    <w:p w14:paraId="034383E1" w14:textId="77777777" w:rsidR="001D0382" w:rsidRDefault="001D0382">
      <w:pPr>
        <w:rPr>
          <w:b/>
          <w:sz w:val="32"/>
          <w:szCs w:val="32"/>
        </w:rPr>
      </w:pPr>
      <w:r>
        <w:rPr>
          <w:b/>
          <w:sz w:val="32"/>
          <w:szCs w:val="32"/>
        </w:rPr>
        <w:br w:type="page"/>
      </w:r>
    </w:p>
    <w:p w14:paraId="5026F720" w14:textId="77777777" w:rsidR="00D21F3F" w:rsidRPr="00257F70" w:rsidRDefault="00D45C36" w:rsidP="00257F70">
      <w:pPr>
        <w:spacing w:line="360" w:lineRule="auto"/>
        <w:rPr>
          <w:rFonts w:cstheme="minorHAnsi"/>
          <w:b/>
          <w:sz w:val="32"/>
          <w:szCs w:val="32"/>
        </w:rPr>
      </w:pPr>
      <w:r w:rsidRPr="00257F70">
        <w:rPr>
          <w:rFonts w:cstheme="minorHAnsi"/>
          <w:b/>
          <w:sz w:val="32"/>
          <w:szCs w:val="32"/>
        </w:rPr>
        <w:lastRenderedPageBreak/>
        <w:t xml:space="preserve">4. </w:t>
      </w:r>
      <w:r w:rsidR="006E2DCF" w:rsidRPr="00257F70">
        <w:rPr>
          <w:rFonts w:cstheme="minorHAnsi"/>
          <w:b/>
          <w:sz w:val="32"/>
          <w:szCs w:val="32"/>
        </w:rPr>
        <w:t>Results</w:t>
      </w:r>
    </w:p>
    <w:p w14:paraId="01E35CCD" w14:textId="77777777" w:rsidR="00A705BF" w:rsidRPr="005828B0" w:rsidRDefault="00A705BF" w:rsidP="005828B0">
      <w:pPr>
        <w:tabs>
          <w:tab w:val="left" w:pos="360"/>
        </w:tabs>
        <w:rPr>
          <w:rFonts w:cs="Arial"/>
          <w:b/>
          <w:bCs/>
          <w:sz w:val="24"/>
          <w:szCs w:val="24"/>
        </w:rPr>
      </w:pPr>
      <w:r w:rsidRPr="005828B0">
        <w:rPr>
          <w:rFonts w:cs="Arial"/>
          <w:b/>
          <w:bCs/>
          <w:sz w:val="24"/>
          <w:szCs w:val="24"/>
        </w:rPr>
        <w:t>Evidence-Informed Case Rate</w:t>
      </w:r>
      <w:r w:rsidR="00E93EEB" w:rsidRPr="005828B0">
        <w:rPr>
          <w:rFonts w:cs="Arial"/>
          <w:b/>
          <w:bCs/>
          <w:sz w:val="24"/>
          <w:szCs w:val="24"/>
        </w:rPr>
        <w:t>s</w:t>
      </w:r>
    </w:p>
    <w:p w14:paraId="0A6BC43F" w14:textId="77777777" w:rsidR="00BF703C" w:rsidRDefault="00E93EEB" w:rsidP="005828B0">
      <w:pPr>
        <w:rPr>
          <w:sz w:val="24"/>
          <w:szCs w:val="24"/>
        </w:rPr>
      </w:pPr>
      <w:r w:rsidRPr="0062406E">
        <w:rPr>
          <w:sz w:val="24"/>
          <w:szCs w:val="24"/>
        </w:rPr>
        <w:t xml:space="preserve">The modeled </w:t>
      </w:r>
      <w:r w:rsidR="00621293">
        <w:rPr>
          <w:sz w:val="24"/>
          <w:szCs w:val="24"/>
        </w:rPr>
        <w:t xml:space="preserve">ECR </w:t>
      </w:r>
      <w:r w:rsidRPr="0062406E">
        <w:rPr>
          <w:sz w:val="24"/>
          <w:szCs w:val="24"/>
        </w:rPr>
        <w:t>cost</w:t>
      </w:r>
      <w:r>
        <w:rPr>
          <w:sz w:val="24"/>
          <w:szCs w:val="24"/>
        </w:rPr>
        <w:t>s</w:t>
      </w:r>
      <w:r w:rsidRPr="0062406E">
        <w:rPr>
          <w:sz w:val="24"/>
          <w:szCs w:val="24"/>
        </w:rPr>
        <w:t xml:space="preserve"> for the seven selected conditions </w:t>
      </w:r>
      <w:r w:rsidR="00BF703C">
        <w:rPr>
          <w:rFonts w:cstheme="minorHAnsi"/>
          <w:sz w:val="24"/>
          <w:szCs w:val="24"/>
        </w:rPr>
        <w:t>ranged</w:t>
      </w:r>
      <w:r w:rsidR="00BF703C" w:rsidRPr="000C05B3">
        <w:rPr>
          <w:rFonts w:cstheme="minorHAnsi"/>
          <w:sz w:val="24"/>
          <w:szCs w:val="24"/>
        </w:rPr>
        <w:t xml:space="preserve"> from $2,336 for </w:t>
      </w:r>
      <w:r w:rsidR="00BF703C">
        <w:rPr>
          <w:rFonts w:cstheme="minorHAnsi"/>
          <w:sz w:val="24"/>
          <w:szCs w:val="24"/>
        </w:rPr>
        <w:t xml:space="preserve">a </w:t>
      </w:r>
      <w:r w:rsidR="00BF703C" w:rsidRPr="000C05B3">
        <w:rPr>
          <w:rFonts w:cstheme="minorHAnsi"/>
          <w:sz w:val="24"/>
          <w:szCs w:val="24"/>
        </w:rPr>
        <w:t>colonoscopy</w:t>
      </w:r>
      <w:r w:rsidR="00BF703C">
        <w:rPr>
          <w:rFonts w:cstheme="minorHAnsi"/>
          <w:sz w:val="24"/>
          <w:szCs w:val="24"/>
        </w:rPr>
        <w:t xml:space="preserve"> </w:t>
      </w:r>
      <w:r w:rsidR="00BF703C" w:rsidRPr="000C05B3">
        <w:rPr>
          <w:rFonts w:cstheme="minorHAnsi"/>
          <w:sz w:val="24"/>
          <w:szCs w:val="24"/>
        </w:rPr>
        <w:t xml:space="preserve">to $45,067 for </w:t>
      </w:r>
      <w:r w:rsidR="00BF703C">
        <w:rPr>
          <w:rFonts w:cstheme="minorHAnsi"/>
          <w:sz w:val="24"/>
          <w:szCs w:val="24"/>
        </w:rPr>
        <w:t xml:space="preserve">a </w:t>
      </w:r>
      <w:r w:rsidR="00BF703C" w:rsidRPr="000C05B3">
        <w:rPr>
          <w:rFonts w:cstheme="minorHAnsi"/>
          <w:sz w:val="24"/>
          <w:szCs w:val="24"/>
        </w:rPr>
        <w:t>CABG</w:t>
      </w:r>
      <w:r w:rsidR="00BF703C">
        <w:rPr>
          <w:rFonts w:cstheme="minorHAnsi"/>
          <w:sz w:val="24"/>
          <w:szCs w:val="24"/>
        </w:rPr>
        <w:t>.</w:t>
      </w:r>
      <w:r w:rsidR="00BF703C" w:rsidRPr="000C05B3">
        <w:rPr>
          <w:rFonts w:cstheme="minorHAnsi"/>
          <w:sz w:val="24"/>
          <w:szCs w:val="24"/>
        </w:rPr>
        <w:t xml:space="preserve"> </w:t>
      </w:r>
      <w:r w:rsidR="00BF703C">
        <w:rPr>
          <w:sz w:val="24"/>
          <w:szCs w:val="24"/>
        </w:rPr>
        <w:t xml:space="preserve">The base rate for “typical care” </w:t>
      </w:r>
      <w:r w:rsidR="00621293">
        <w:rPr>
          <w:sz w:val="24"/>
          <w:szCs w:val="24"/>
        </w:rPr>
        <w:t xml:space="preserve">represented </w:t>
      </w:r>
      <w:r w:rsidR="00BF703C">
        <w:rPr>
          <w:sz w:val="24"/>
          <w:szCs w:val="24"/>
        </w:rPr>
        <w:t>the majority of dollars spent within each ECR for each of the seven conditions</w:t>
      </w:r>
      <w:r w:rsidR="00A83B9D">
        <w:rPr>
          <w:sz w:val="24"/>
          <w:szCs w:val="24"/>
        </w:rPr>
        <w:t xml:space="preserve"> (Figure 1)</w:t>
      </w:r>
      <w:r w:rsidR="00BF703C">
        <w:rPr>
          <w:sz w:val="24"/>
          <w:szCs w:val="24"/>
        </w:rPr>
        <w:t xml:space="preserve">. </w:t>
      </w:r>
    </w:p>
    <w:p w14:paraId="635458F6" w14:textId="77777777" w:rsidR="00152A2D" w:rsidRPr="0062406E" w:rsidRDefault="00D84F86" w:rsidP="004B49D9">
      <w:pPr>
        <w:spacing w:before="360" w:after="0"/>
        <w:rPr>
          <w:b/>
          <w:sz w:val="24"/>
          <w:szCs w:val="24"/>
        </w:rPr>
      </w:pPr>
      <w:r w:rsidRPr="0062406E">
        <w:rPr>
          <w:b/>
          <w:sz w:val="24"/>
          <w:szCs w:val="24"/>
        </w:rPr>
        <w:t>Figure 1: ECRs</w:t>
      </w:r>
      <w:r w:rsidR="00510BF3" w:rsidRPr="0062406E">
        <w:rPr>
          <w:b/>
          <w:sz w:val="24"/>
          <w:szCs w:val="24"/>
        </w:rPr>
        <w:t xml:space="preserve"> for the Selected Conditions</w:t>
      </w:r>
    </w:p>
    <w:p w14:paraId="35E5CF6B" w14:textId="77777777" w:rsidR="00152A2D" w:rsidRPr="0062406E" w:rsidRDefault="009B3361" w:rsidP="00BF703C">
      <w:pPr>
        <w:spacing w:after="0"/>
        <w:jc w:val="center"/>
        <w:rPr>
          <w:sz w:val="24"/>
          <w:szCs w:val="24"/>
        </w:rPr>
      </w:pPr>
      <w:r w:rsidRPr="0062406E">
        <w:rPr>
          <w:noProof/>
          <w:sz w:val="24"/>
          <w:szCs w:val="24"/>
        </w:rPr>
        <w:drawing>
          <wp:inline distT="0" distB="0" distL="0" distR="0" wp14:anchorId="2E8DA821" wp14:editId="0B77C8E4">
            <wp:extent cx="5962650" cy="404812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53024E" w14:textId="77777777" w:rsidR="005828B0" w:rsidRDefault="005828B0" w:rsidP="005828B0">
      <w:pPr>
        <w:rPr>
          <w:sz w:val="24"/>
          <w:szCs w:val="24"/>
        </w:rPr>
      </w:pPr>
    </w:p>
    <w:p w14:paraId="278C3A49" w14:textId="77777777" w:rsidR="00A83B9D" w:rsidRPr="000C05B3" w:rsidRDefault="00A83B9D" w:rsidP="005828B0">
      <w:pPr>
        <w:rPr>
          <w:sz w:val="24"/>
          <w:szCs w:val="24"/>
        </w:rPr>
      </w:pPr>
      <w:r w:rsidRPr="0062406E">
        <w:rPr>
          <w:sz w:val="24"/>
          <w:szCs w:val="24"/>
        </w:rPr>
        <w:t xml:space="preserve">The level and share of </w:t>
      </w:r>
      <w:r>
        <w:rPr>
          <w:sz w:val="24"/>
          <w:szCs w:val="24"/>
        </w:rPr>
        <w:t xml:space="preserve">the </w:t>
      </w:r>
      <w:r w:rsidRPr="0062406E">
        <w:rPr>
          <w:sz w:val="24"/>
          <w:szCs w:val="24"/>
        </w:rPr>
        <w:t xml:space="preserve">PAC </w:t>
      </w:r>
      <w:r w:rsidR="00621293">
        <w:rPr>
          <w:sz w:val="24"/>
          <w:szCs w:val="24"/>
        </w:rPr>
        <w:t>a</w:t>
      </w:r>
      <w:r>
        <w:rPr>
          <w:sz w:val="24"/>
          <w:szCs w:val="24"/>
        </w:rPr>
        <w:t>llowances</w:t>
      </w:r>
      <w:r w:rsidRPr="0062406E">
        <w:rPr>
          <w:sz w:val="24"/>
          <w:szCs w:val="24"/>
        </w:rPr>
        <w:t xml:space="preserve"> var</w:t>
      </w:r>
      <w:r w:rsidR="00621293">
        <w:rPr>
          <w:sz w:val="24"/>
          <w:szCs w:val="24"/>
        </w:rPr>
        <w:t xml:space="preserve">ied </w:t>
      </w:r>
      <w:r>
        <w:rPr>
          <w:sz w:val="24"/>
          <w:szCs w:val="24"/>
        </w:rPr>
        <w:t xml:space="preserve">considerably </w:t>
      </w:r>
      <w:r w:rsidRPr="0062406E">
        <w:rPr>
          <w:sz w:val="24"/>
          <w:szCs w:val="24"/>
        </w:rPr>
        <w:t>by condition</w:t>
      </w:r>
      <w:r w:rsidR="00621293">
        <w:rPr>
          <w:sz w:val="24"/>
          <w:szCs w:val="24"/>
        </w:rPr>
        <w:t>.</w:t>
      </w:r>
      <w:r w:rsidRPr="0062406E">
        <w:rPr>
          <w:sz w:val="24"/>
          <w:szCs w:val="24"/>
        </w:rPr>
        <w:t xml:space="preserve"> </w:t>
      </w:r>
      <w:r w:rsidRPr="000C05B3">
        <w:rPr>
          <w:rFonts w:cstheme="minorHAnsi"/>
          <w:sz w:val="24"/>
          <w:szCs w:val="24"/>
        </w:rPr>
        <w:t>PAC allowance</w:t>
      </w:r>
      <w:r>
        <w:rPr>
          <w:rFonts w:cstheme="minorHAnsi"/>
          <w:sz w:val="24"/>
          <w:szCs w:val="24"/>
        </w:rPr>
        <w:t>s ranged from</w:t>
      </w:r>
      <w:r w:rsidRPr="000C05B3">
        <w:rPr>
          <w:rFonts w:cstheme="minorHAnsi"/>
          <w:sz w:val="24"/>
          <w:szCs w:val="24"/>
        </w:rPr>
        <w:t xml:space="preserve"> 6.4</w:t>
      </w:r>
      <w:r w:rsidR="005828B0">
        <w:rPr>
          <w:rFonts w:cstheme="minorHAnsi"/>
          <w:sz w:val="24"/>
          <w:szCs w:val="24"/>
        </w:rPr>
        <w:t>%</w:t>
      </w:r>
      <w:r w:rsidRPr="000C05B3">
        <w:rPr>
          <w:rFonts w:cstheme="minorHAnsi"/>
          <w:sz w:val="24"/>
          <w:szCs w:val="24"/>
        </w:rPr>
        <w:t xml:space="preserve"> </w:t>
      </w:r>
      <w:r>
        <w:rPr>
          <w:rFonts w:cstheme="minorHAnsi"/>
          <w:sz w:val="24"/>
          <w:szCs w:val="24"/>
        </w:rPr>
        <w:t>of</w:t>
      </w:r>
      <w:r w:rsidRPr="000C05B3">
        <w:rPr>
          <w:rFonts w:cstheme="minorHAnsi"/>
          <w:sz w:val="24"/>
          <w:szCs w:val="24"/>
        </w:rPr>
        <w:t xml:space="preserve"> the colonoscopy ECR </w:t>
      </w:r>
      <w:r>
        <w:rPr>
          <w:rFonts w:cstheme="minorHAnsi"/>
          <w:sz w:val="24"/>
          <w:szCs w:val="24"/>
        </w:rPr>
        <w:t>to</w:t>
      </w:r>
      <w:r w:rsidRPr="000C05B3">
        <w:rPr>
          <w:rFonts w:cstheme="minorHAnsi"/>
          <w:sz w:val="24"/>
          <w:szCs w:val="24"/>
        </w:rPr>
        <w:t xml:space="preserve"> </w:t>
      </w:r>
      <w:r>
        <w:rPr>
          <w:rFonts w:cstheme="minorHAnsi"/>
          <w:sz w:val="24"/>
          <w:szCs w:val="24"/>
        </w:rPr>
        <w:t>27.5</w:t>
      </w:r>
      <w:r w:rsidR="005828B0">
        <w:rPr>
          <w:rFonts w:cstheme="minorHAnsi"/>
          <w:sz w:val="24"/>
          <w:szCs w:val="24"/>
        </w:rPr>
        <w:t>%</w:t>
      </w:r>
      <w:r>
        <w:rPr>
          <w:rFonts w:cstheme="minorHAnsi"/>
          <w:sz w:val="24"/>
          <w:szCs w:val="24"/>
        </w:rPr>
        <w:t xml:space="preserve"> of the CABG ECR (Figure 2). </w:t>
      </w:r>
    </w:p>
    <w:p w14:paraId="49A4D517" w14:textId="77777777" w:rsidR="00BF703C" w:rsidRDefault="00BF703C" w:rsidP="00ED1313">
      <w:pPr>
        <w:jc w:val="both"/>
        <w:rPr>
          <w:b/>
          <w:sz w:val="24"/>
          <w:szCs w:val="24"/>
        </w:rPr>
      </w:pPr>
    </w:p>
    <w:p w14:paraId="538FB3A3" w14:textId="77777777" w:rsidR="005828B0" w:rsidRDefault="005828B0" w:rsidP="00ED1313">
      <w:pPr>
        <w:jc w:val="both"/>
        <w:rPr>
          <w:b/>
          <w:sz w:val="24"/>
          <w:szCs w:val="24"/>
        </w:rPr>
      </w:pPr>
    </w:p>
    <w:p w14:paraId="4AEB5DB7" w14:textId="77777777" w:rsidR="005828B0" w:rsidRDefault="005828B0" w:rsidP="005828B0">
      <w:pPr>
        <w:rPr>
          <w:b/>
          <w:sz w:val="24"/>
          <w:szCs w:val="24"/>
        </w:rPr>
      </w:pPr>
    </w:p>
    <w:p w14:paraId="427705BB" w14:textId="77777777" w:rsidR="005828B0" w:rsidRDefault="005828B0" w:rsidP="005828B0">
      <w:pPr>
        <w:rPr>
          <w:b/>
          <w:sz w:val="24"/>
          <w:szCs w:val="24"/>
        </w:rPr>
      </w:pPr>
    </w:p>
    <w:p w14:paraId="6B239F03" w14:textId="77777777" w:rsidR="00EF61BD" w:rsidRPr="0062406E" w:rsidRDefault="00CD5F83" w:rsidP="005828B0">
      <w:pPr>
        <w:rPr>
          <w:b/>
          <w:sz w:val="24"/>
          <w:szCs w:val="24"/>
        </w:rPr>
      </w:pPr>
      <w:r w:rsidRPr="0062406E">
        <w:rPr>
          <w:b/>
          <w:sz w:val="24"/>
          <w:szCs w:val="24"/>
        </w:rPr>
        <w:lastRenderedPageBreak/>
        <w:t>Figure 2: Distribution of ECR Components</w:t>
      </w:r>
    </w:p>
    <w:p w14:paraId="50982C40" w14:textId="77777777" w:rsidR="00152A2D" w:rsidRPr="0062406E" w:rsidRDefault="00EF61BD" w:rsidP="00ED1313">
      <w:pPr>
        <w:jc w:val="both"/>
        <w:rPr>
          <w:sz w:val="24"/>
          <w:szCs w:val="24"/>
        </w:rPr>
      </w:pPr>
      <w:r w:rsidRPr="0062406E">
        <w:rPr>
          <w:noProof/>
          <w:sz w:val="24"/>
          <w:szCs w:val="24"/>
        </w:rPr>
        <w:drawing>
          <wp:inline distT="0" distB="0" distL="0" distR="0" wp14:anchorId="0D629093" wp14:editId="1950FE4B">
            <wp:extent cx="5943600" cy="431546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2406E">
        <w:rPr>
          <w:sz w:val="24"/>
          <w:szCs w:val="24"/>
        </w:rPr>
        <w:t xml:space="preserve"> </w:t>
      </w:r>
    </w:p>
    <w:p w14:paraId="78E67E52" w14:textId="77777777" w:rsidR="00C440C9" w:rsidRPr="005828B0" w:rsidRDefault="000E6568" w:rsidP="005828B0">
      <w:pPr>
        <w:rPr>
          <w:b/>
          <w:sz w:val="24"/>
          <w:szCs w:val="24"/>
        </w:rPr>
      </w:pPr>
      <w:r w:rsidRPr="005828B0">
        <w:rPr>
          <w:b/>
          <w:sz w:val="24"/>
          <w:szCs w:val="24"/>
        </w:rPr>
        <w:t>Distribution</w:t>
      </w:r>
      <w:r w:rsidR="00A705BF" w:rsidRPr="005828B0">
        <w:rPr>
          <w:b/>
          <w:sz w:val="24"/>
          <w:szCs w:val="24"/>
        </w:rPr>
        <w:t xml:space="preserve"> of </w:t>
      </w:r>
      <w:r w:rsidR="00D84F86" w:rsidRPr="005828B0">
        <w:rPr>
          <w:b/>
          <w:sz w:val="24"/>
          <w:szCs w:val="24"/>
        </w:rPr>
        <w:t>PAC Costs</w:t>
      </w:r>
    </w:p>
    <w:p w14:paraId="3D88FF48" w14:textId="77777777" w:rsidR="004A7A35" w:rsidRDefault="004A7A35" w:rsidP="005828B0">
      <w:pPr>
        <w:rPr>
          <w:sz w:val="24"/>
          <w:szCs w:val="24"/>
        </w:rPr>
      </w:pPr>
      <w:r>
        <w:rPr>
          <w:sz w:val="24"/>
          <w:szCs w:val="24"/>
        </w:rPr>
        <w:t>PAC costs originate</w:t>
      </w:r>
      <w:r w:rsidR="00621293">
        <w:rPr>
          <w:sz w:val="24"/>
          <w:szCs w:val="24"/>
        </w:rPr>
        <w:t>d</w:t>
      </w:r>
      <w:r>
        <w:rPr>
          <w:sz w:val="24"/>
          <w:szCs w:val="24"/>
        </w:rPr>
        <w:t xml:space="preserve"> from different service categories</w:t>
      </w:r>
      <w:r w:rsidR="00621293">
        <w:rPr>
          <w:sz w:val="24"/>
          <w:szCs w:val="24"/>
        </w:rPr>
        <w:t>, including</w:t>
      </w:r>
      <w:r>
        <w:rPr>
          <w:sz w:val="24"/>
          <w:szCs w:val="24"/>
        </w:rPr>
        <w:t xml:space="preserve"> Index Inpatient Stays, Outpatient Facility/ Professional services, Readmissions and Associated Admissions, and Pharmacy costs, and </w:t>
      </w:r>
      <w:r w:rsidR="00621293">
        <w:rPr>
          <w:sz w:val="24"/>
          <w:szCs w:val="24"/>
        </w:rPr>
        <w:t>varied</w:t>
      </w:r>
      <w:r>
        <w:rPr>
          <w:sz w:val="24"/>
          <w:szCs w:val="24"/>
        </w:rPr>
        <w:t xml:space="preserve"> </w:t>
      </w:r>
      <w:r w:rsidR="00810FEC">
        <w:rPr>
          <w:sz w:val="24"/>
          <w:szCs w:val="24"/>
        </w:rPr>
        <w:t>across</w:t>
      </w:r>
      <w:r>
        <w:rPr>
          <w:sz w:val="24"/>
          <w:szCs w:val="24"/>
        </w:rPr>
        <w:t xml:space="preserve"> conditions (Figure 3).</w:t>
      </w:r>
    </w:p>
    <w:p w14:paraId="4BB651C9" w14:textId="77777777" w:rsidR="004A7A35" w:rsidRDefault="004A7A35" w:rsidP="005828B0">
      <w:pPr>
        <w:rPr>
          <w:sz w:val="24"/>
          <w:szCs w:val="24"/>
        </w:rPr>
      </w:pPr>
      <w:r>
        <w:rPr>
          <w:sz w:val="24"/>
          <w:szCs w:val="24"/>
        </w:rPr>
        <w:t>Readmissions and Associated Admissions accounted for the largest proportion of PAC costs for three of the seven conditions examined:  AMI</w:t>
      </w:r>
      <w:r w:rsidR="00621293">
        <w:rPr>
          <w:sz w:val="24"/>
          <w:szCs w:val="24"/>
        </w:rPr>
        <w:t xml:space="preserve"> (47.8%),</w:t>
      </w:r>
      <w:r>
        <w:rPr>
          <w:sz w:val="24"/>
          <w:szCs w:val="24"/>
        </w:rPr>
        <w:t xml:space="preserve"> CABG</w:t>
      </w:r>
      <w:r w:rsidR="00621293">
        <w:rPr>
          <w:sz w:val="24"/>
          <w:szCs w:val="24"/>
        </w:rPr>
        <w:t xml:space="preserve"> (37.9%),</w:t>
      </w:r>
      <w:r>
        <w:rPr>
          <w:sz w:val="24"/>
          <w:szCs w:val="24"/>
        </w:rPr>
        <w:t xml:space="preserve"> and </w:t>
      </w:r>
      <w:r w:rsidR="00621293">
        <w:rPr>
          <w:sz w:val="24"/>
          <w:szCs w:val="24"/>
        </w:rPr>
        <w:t>b</w:t>
      </w:r>
      <w:r>
        <w:rPr>
          <w:sz w:val="24"/>
          <w:szCs w:val="24"/>
        </w:rPr>
        <w:t xml:space="preserve">ariatric </w:t>
      </w:r>
      <w:r w:rsidR="00621293">
        <w:rPr>
          <w:sz w:val="24"/>
          <w:szCs w:val="24"/>
        </w:rPr>
        <w:t>s</w:t>
      </w:r>
      <w:r>
        <w:rPr>
          <w:sz w:val="24"/>
          <w:szCs w:val="24"/>
        </w:rPr>
        <w:t>urgery</w:t>
      </w:r>
      <w:r w:rsidR="00621293">
        <w:rPr>
          <w:sz w:val="24"/>
          <w:szCs w:val="24"/>
        </w:rPr>
        <w:t xml:space="preserve"> (50.7%)</w:t>
      </w:r>
      <w:r w:rsidR="005828B0">
        <w:rPr>
          <w:sz w:val="24"/>
          <w:szCs w:val="24"/>
        </w:rPr>
        <w:t>.</w:t>
      </w:r>
      <w:r>
        <w:rPr>
          <w:sz w:val="24"/>
          <w:szCs w:val="24"/>
        </w:rPr>
        <w:t xml:space="preserve"> Outpatient Facility/ Professional services represented the largest proportion of PAC costs for</w:t>
      </w:r>
      <w:r w:rsidR="00621293">
        <w:rPr>
          <w:sz w:val="24"/>
          <w:szCs w:val="24"/>
        </w:rPr>
        <w:t xml:space="preserve"> g</w:t>
      </w:r>
      <w:r>
        <w:rPr>
          <w:sz w:val="24"/>
          <w:szCs w:val="24"/>
        </w:rPr>
        <w:t xml:space="preserve">allbladder </w:t>
      </w:r>
      <w:r w:rsidR="00621293">
        <w:rPr>
          <w:sz w:val="24"/>
          <w:szCs w:val="24"/>
        </w:rPr>
        <w:t>surgery (50.8%)</w:t>
      </w:r>
      <w:r>
        <w:rPr>
          <w:sz w:val="24"/>
          <w:szCs w:val="24"/>
        </w:rPr>
        <w:t xml:space="preserve">, </w:t>
      </w:r>
      <w:r w:rsidR="00621293">
        <w:rPr>
          <w:sz w:val="24"/>
          <w:szCs w:val="24"/>
        </w:rPr>
        <w:t>p</w:t>
      </w:r>
      <w:r>
        <w:rPr>
          <w:sz w:val="24"/>
          <w:szCs w:val="24"/>
        </w:rPr>
        <w:t xml:space="preserve">regnancy and </w:t>
      </w:r>
      <w:r w:rsidR="00621293">
        <w:rPr>
          <w:sz w:val="24"/>
          <w:szCs w:val="24"/>
        </w:rPr>
        <w:t>d</w:t>
      </w:r>
      <w:r>
        <w:rPr>
          <w:sz w:val="24"/>
          <w:szCs w:val="24"/>
        </w:rPr>
        <w:t>elivery</w:t>
      </w:r>
      <w:r w:rsidR="00621293">
        <w:rPr>
          <w:sz w:val="24"/>
          <w:szCs w:val="24"/>
        </w:rPr>
        <w:t xml:space="preserve"> (77.2%)</w:t>
      </w:r>
      <w:r>
        <w:rPr>
          <w:sz w:val="24"/>
          <w:szCs w:val="24"/>
        </w:rPr>
        <w:t xml:space="preserve">, and </w:t>
      </w:r>
      <w:r w:rsidR="00621293">
        <w:rPr>
          <w:sz w:val="24"/>
          <w:szCs w:val="24"/>
        </w:rPr>
        <w:t>c</w:t>
      </w:r>
      <w:r>
        <w:rPr>
          <w:sz w:val="24"/>
          <w:szCs w:val="24"/>
        </w:rPr>
        <w:t>olonoscopy</w:t>
      </w:r>
      <w:r w:rsidR="00621293">
        <w:rPr>
          <w:sz w:val="24"/>
          <w:szCs w:val="24"/>
        </w:rPr>
        <w:t xml:space="preserve"> (66.4%).</w:t>
      </w:r>
      <w:r>
        <w:rPr>
          <w:sz w:val="24"/>
          <w:szCs w:val="24"/>
        </w:rPr>
        <w:t xml:space="preserve"> </w:t>
      </w:r>
    </w:p>
    <w:p w14:paraId="2C6C63B0" w14:textId="77777777" w:rsidR="0072099C" w:rsidRDefault="00F94A34" w:rsidP="005828B0">
      <w:pPr>
        <w:rPr>
          <w:sz w:val="24"/>
          <w:szCs w:val="24"/>
        </w:rPr>
      </w:pPr>
      <w:r>
        <w:rPr>
          <w:sz w:val="24"/>
          <w:szCs w:val="24"/>
        </w:rPr>
        <w:t xml:space="preserve">This </w:t>
      </w:r>
      <w:r w:rsidR="00621293">
        <w:rPr>
          <w:sz w:val="24"/>
          <w:szCs w:val="24"/>
        </w:rPr>
        <w:t xml:space="preserve">may </w:t>
      </w:r>
      <w:r>
        <w:rPr>
          <w:sz w:val="24"/>
          <w:szCs w:val="24"/>
        </w:rPr>
        <w:t>be explained by</w:t>
      </w:r>
      <w:r w:rsidR="007960EE">
        <w:rPr>
          <w:sz w:val="24"/>
          <w:szCs w:val="24"/>
        </w:rPr>
        <w:t xml:space="preserve"> standard protocols for</w:t>
      </w:r>
      <w:r>
        <w:rPr>
          <w:sz w:val="24"/>
          <w:szCs w:val="24"/>
        </w:rPr>
        <w:t xml:space="preserve"> p</w:t>
      </w:r>
      <w:r w:rsidR="002C51D2">
        <w:rPr>
          <w:sz w:val="24"/>
          <w:szCs w:val="24"/>
        </w:rPr>
        <w:t xml:space="preserve">rocedural conditions </w:t>
      </w:r>
      <w:r>
        <w:rPr>
          <w:sz w:val="24"/>
          <w:szCs w:val="24"/>
        </w:rPr>
        <w:t xml:space="preserve">more often </w:t>
      </w:r>
      <w:r w:rsidR="00837792">
        <w:rPr>
          <w:sz w:val="24"/>
          <w:szCs w:val="24"/>
        </w:rPr>
        <w:t xml:space="preserve">recommending care that is delivered </w:t>
      </w:r>
      <w:r w:rsidR="00810FEC">
        <w:rPr>
          <w:sz w:val="24"/>
          <w:szCs w:val="24"/>
        </w:rPr>
        <w:t xml:space="preserve"> in</w:t>
      </w:r>
      <w:r>
        <w:rPr>
          <w:sz w:val="24"/>
          <w:szCs w:val="24"/>
        </w:rPr>
        <w:t xml:space="preserve"> </w:t>
      </w:r>
      <w:r w:rsidR="002C51D2">
        <w:rPr>
          <w:sz w:val="24"/>
          <w:szCs w:val="24"/>
        </w:rPr>
        <w:t>outpatient and ambulatory settings</w:t>
      </w:r>
      <w:r w:rsidR="00DA75F5">
        <w:rPr>
          <w:sz w:val="24"/>
          <w:szCs w:val="24"/>
        </w:rPr>
        <w:t xml:space="preserve">, </w:t>
      </w:r>
      <w:r w:rsidR="002C51D2">
        <w:rPr>
          <w:sz w:val="24"/>
          <w:szCs w:val="24"/>
        </w:rPr>
        <w:t xml:space="preserve">adding to the </w:t>
      </w:r>
      <w:r w:rsidR="00DA75F5">
        <w:rPr>
          <w:sz w:val="24"/>
          <w:szCs w:val="24"/>
        </w:rPr>
        <w:lastRenderedPageBreak/>
        <w:t>likelihood that potentially avoidable complications in the treatment of these conditions will occur in these settings</w:t>
      </w:r>
      <w:r w:rsidR="0072099C">
        <w:rPr>
          <w:sz w:val="24"/>
          <w:szCs w:val="24"/>
        </w:rPr>
        <w:t>.</w:t>
      </w:r>
      <w:r w:rsidR="007960EE">
        <w:rPr>
          <w:rStyle w:val="FootnoteReference"/>
          <w:sz w:val="24"/>
          <w:szCs w:val="24"/>
        </w:rPr>
        <w:footnoteReference w:id="14"/>
      </w:r>
      <w:r w:rsidR="00621293" w:rsidRPr="00621293">
        <w:rPr>
          <w:sz w:val="24"/>
          <w:szCs w:val="24"/>
        </w:rPr>
        <w:t xml:space="preserve"> </w:t>
      </w:r>
      <w:r w:rsidR="00621293">
        <w:rPr>
          <w:sz w:val="24"/>
          <w:szCs w:val="24"/>
        </w:rPr>
        <w:t xml:space="preserve">Index Inpatient Stay made up the greatest PAC costs for pneumonia.  </w:t>
      </w:r>
    </w:p>
    <w:p w14:paraId="55391E58" w14:textId="77777777" w:rsidR="00F94A34" w:rsidRDefault="00F94A34" w:rsidP="005828B0">
      <w:pPr>
        <w:rPr>
          <w:sz w:val="24"/>
          <w:szCs w:val="24"/>
        </w:rPr>
      </w:pPr>
      <w:r>
        <w:rPr>
          <w:sz w:val="24"/>
          <w:szCs w:val="24"/>
        </w:rPr>
        <w:t xml:space="preserve">Pharmacy PAC costs made up </w:t>
      </w:r>
      <w:r w:rsidR="00837792">
        <w:rPr>
          <w:sz w:val="24"/>
          <w:szCs w:val="24"/>
        </w:rPr>
        <w:t xml:space="preserve">substantial </w:t>
      </w:r>
      <w:r>
        <w:rPr>
          <w:sz w:val="24"/>
          <w:szCs w:val="24"/>
        </w:rPr>
        <w:t xml:space="preserve">proportions of PAC costs for </w:t>
      </w:r>
      <w:r w:rsidR="00517831">
        <w:rPr>
          <w:sz w:val="24"/>
          <w:szCs w:val="24"/>
        </w:rPr>
        <w:t>p</w:t>
      </w:r>
      <w:r>
        <w:rPr>
          <w:sz w:val="24"/>
          <w:szCs w:val="24"/>
        </w:rPr>
        <w:t>neumonia (2</w:t>
      </w:r>
      <w:r w:rsidR="005828B0">
        <w:rPr>
          <w:sz w:val="24"/>
          <w:szCs w:val="24"/>
        </w:rPr>
        <w:t>8.7</w:t>
      </w:r>
      <w:r w:rsidR="00517831">
        <w:rPr>
          <w:sz w:val="24"/>
          <w:szCs w:val="24"/>
        </w:rPr>
        <w:t>%</w:t>
      </w:r>
      <w:r>
        <w:rPr>
          <w:sz w:val="24"/>
          <w:szCs w:val="24"/>
        </w:rPr>
        <w:t>), CABG (</w:t>
      </w:r>
      <w:r w:rsidR="00517831">
        <w:rPr>
          <w:sz w:val="24"/>
          <w:szCs w:val="24"/>
        </w:rPr>
        <w:t>27.7%</w:t>
      </w:r>
      <w:r>
        <w:rPr>
          <w:sz w:val="24"/>
          <w:szCs w:val="24"/>
        </w:rPr>
        <w:t xml:space="preserve">), and </w:t>
      </w:r>
      <w:r w:rsidR="00517831">
        <w:rPr>
          <w:sz w:val="24"/>
          <w:szCs w:val="24"/>
        </w:rPr>
        <w:t>b</w:t>
      </w:r>
      <w:r>
        <w:rPr>
          <w:sz w:val="24"/>
          <w:szCs w:val="24"/>
        </w:rPr>
        <w:t xml:space="preserve">ariatric </w:t>
      </w:r>
      <w:r w:rsidR="00517831">
        <w:rPr>
          <w:sz w:val="24"/>
          <w:szCs w:val="24"/>
        </w:rPr>
        <w:t>s</w:t>
      </w:r>
      <w:r>
        <w:rPr>
          <w:sz w:val="24"/>
          <w:szCs w:val="24"/>
        </w:rPr>
        <w:t>urgery (</w:t>
      </w:r>
      <w:r w:rsidR="00517831">
        <w:rPr>
          <w:sz w:val="24"/>
          <w:szCs w:val="24"/>
        </w:rPr>
        <w:t>24.6%</w:t>
      </w:r>
      <w:r>
        <w:rPr>
          <w:sz w:val="24"/>
          <w:szCs w:val="24"/>
        </w:rPr>
        <w:t>).</w:t>
      </w:r>
    </w:p>
    <w:p w14:paraId="0B4DF3C8" w14:textId="77777777" w:rsidR="00152A2D" w:rsidRPr="0062406E" w:rsidRDefault="00CC38C5" w:rsidP="004B49D9">
      <w:pPr>
        <w:rPr>
          <w:b/>
          <w:sz w:val="24"/>
          <w:szCs w:val="24"/>
        </w:rPr>
      </w:pPr>
      <w:r w:rsidRPr="0062406E">
        <w:rPr>
          <w:b/>
          <w:sz w:val="24"/>
          <w:szCs w:val="24"/>
        </w:rPr>
        <w:t xml:space="preserve">Figure </w:t>
      </w:r>
      <w:r w:rsidR="007F0E66" w:rsidRPr="0062406E">
        <w:rPr>
          <w:b/>
          <w:sz w:val="24"/>
          <w:szCs w:val="24"/>
        </w:rPr>
        <w:t>3</w:t>
      </w:r>
      <w:r w:rsidRPr="0062406E">
        <w:rPr>
          <w:b/>
          <w:sz w:val="24"/>
          <w:szCs w:val="24"/>
        </w:rPr>
        <w:t>: Composition of PAC Cost</w:t>
      </w:r>
      <w:r w:rsidR="00D84F86" w:rsidRPr="0062406E">
        <w:rPr>
          <w:b/>
          <w:sz w:val="24"/>
          <w:szCs w:val="24"/>
        </w:rPr>
        <w:t>s</w:t>
      </w:r>
      <w:r w:rsidRPr="0062406E">
        <w:rPr>
          <w:b/>
          <w:sz w:val="24"/>
          <w:szCs w:val="24"/>
        </w:rPr>
        <w:t xml:space="preserve"> by Service Type</w:t>
      </w:r>
    </w:p>
    <w:p w14:paraId="488E0304" w14:textId="77777777" w:rsidR="00152A2D" w:rsidRPr="0062406E" w:rsidRDefault="00D65F4D" w:rsidP="006E2DCF">
      <w:pPr>
        <w:spacing w:after="0"/>
        <w:jc w:val="both"/>
        <w:rPr>
          <w:sz w:val="24"/>
          <w:szCs w:val="24"/>
        </w:rPr>
      </w:pPr>
      <w:r w:rsidRPr="0062406E">
        <w:rPr>
          <w:noProof/>
          <w:sz w:val="24"/>
          <w:szCs w:val="24"/>
        </w:rPr>
        <w:drawing>
          <wp:inline distT="0" distB="0" distL="0" distR="0" wp14:anchorId="53384123" wp14:editId="3027B6E7">
            <wp:extent cx="5943600" cy="431355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16959C" w14:textId="77777777" w:rsidR="006E20FC" w:rsidRPr="005828B0" w:rsidRDefault="00885567" w:rsidP="005828B0">
      <w:pPr>
        <w:tabs>
          <w:tab w:val="left" w:pos="360"/>
        </w:tabs>
        <w:spacing w:before="240" w:after="240"/>
        <w:rPr>
          <w:rFonts w:cs="Arial"/>
          <w:b/>
          <w:bCs/>
          <w:sz w:val="24"/>
          <w:szCs w:val="24"/>
        </w:rPr>
      </w:pPr>
      <w:r w:rsidRPr="005828B0">
        <w:rPr>
          <w:rFonts w:cs="Arial"/>
          <w:b/>
          <w:bCs/>
          <w:sz w:val="24"/>
          <w:szCs w:val="24"/>
        </w:rPr>
        <w:t>Massachusetts PAC Cost Compared to Other States</w:t>
      </w:r>
    </w:p>
    <w:p w14:paraId="7C763D63" w14:textId="77777777" w:rsidR="000E40D0" w:rsidRDefault="00484577" w:rsidP="00727A4D">
      <w:pPr>
        <w:tabs>
          <w:tab w:val="left" w:pos="360"/>
        </w:tabs>
        <w:rPr>
          <w:sz w:val="24"/>
          <w:szCs w:val="24"/>
        </w:rPr>
      </w:pPr>
      <w:r w:rsidRPr="00727A4D">
        <w:rPr>
          <w:sz w:val="24"/>
          <w:szCs w:val="24"/>
        </w:rPr>
        <w:t xml:space="preserve">The proportion of total cost attributable to PACs in Massachusetts was higher than the national average for four of the seven conditions </w:t>
      </w:r>
      <w:r w:rsidR="000E40D0">
        <w:rPr>
          <w:sz w:val="24"/>
          <w:szCs w:val="24"/>
        </w:rPr>
        <w:t xml:space="preserve">studied </w:t>
      </w:r>
      <w:r w:rsidRPr="00727A4D">
        <w:rPr>
          <w:sz w:val="24"/>
          <w:szCs w:val="24"/>
        </w:rPr>
        <w:t xml:space="preserve">(AMI, </w:t>
      </w:r>
      <w:r w:rsidR="00517831">
        <w:rPr>
          <w:sz w:val="24"/>
          <w:szCs w:val="24"/>
        </w:rPr>
        <w:t>p</w:t>
      </w:r>
      <w:r w:rsidRPr="00727A4D">
        <w:rPr>
          <w:sz w:val="24"/>
          <w:szCs w:val="24"/>
        </w:rPr>
        <w:t xml:space="preserve">neumonia, CABG, and </w:t>
      </w:r>
      <w:r w:rsidR="00517831">
        <w:rPr>
          <w:sz w:val="24"/>
          <w:szCs w:val="24"/>
        </w:rPr>
        <w:t>g</w:t>
      </w:r>
      <w:r w:rsidR="00517831" w:rsidRPr="00727A4D">
        <w:rPr>
          <w:sz w:val="24"/>
          <w:szCs w:val="24"/>
        </w:rPr>
        <w:t xml:space="preserve">allbladder </w:t>
      </w:r>
      <w:r w:rsidR="00517831">
        <w:rPr>
          <w:sz w:val="24"/>
          <w:szCs w:val="24"/>
        </w:rPr>
        <w:t>s</w:t>
      </w:r>
      <w:r w:rsidRPr="00727A4D">
        <w:rPr>
          <w:sz w:val="24"/>
          <w:szCs w:val="24"/>
        </w:rPr>
        <w:t>urgery)</w:t>
      </w:r>
      <w:r w:rsidR="00517831">
        <w:rPr>
          <w:sz w:val="24"/>
          <w:szCs w:val="24"/>
        </w:rPr>
        <w:t xml:space="preserve"> </w:t>
      </w:r>
      <w:r w:rsidR="00517831" w:rsidRPr="00727A4D">
        <w:rPr>
          <w:sz w:val="24"/>
          <w:szCs w:val="24"/>
        </w:rPr>
        <w:t>(Figure 4)</w:t>
      </w:r>
      <w:r w:rsidRPr="00727A4D">
        <w:rPr>
          <w:sz w:val="24"/>
          <w:szCs w:val="24"/>
        </w:rPr>
        <w:t xml:space="preserve">. </w:t>
      </w:r>
      <w:r w:rsidR="00517831">
        <w:rPr>
          <w:sz w:val="24"/>
          <w:szCs w:val="24"/>
        </w:rPr>
        <w:t>Massachusetts was below t</w:t>
      </w:r>
      <w:r w:rsidR="000E40D0">
        <w:rPr>
          <w:sz w:val="24"/>
          <w:szCs w:val="24"/>
        </w:rPr>
        <w:t xml:space="preserve">he national average PAC cost-proportion for </w:t>
      </w:r>
      <w:r w:rsidR="00517831">
        <w:rPr>
          <w:sz w:val="24"/>
          <w:szCs w:val="24"/>
        </w:rPr>
        <w:t>b</w:t>
      </w:r>
      <w:r w:rsidR="000E40D0">
        <w:rPr>
          <w:sz w:val="24"/>
          <w:szCs w:val="24"/>
        </w:rPr>
        <w:t xml:space="preserve">ariatric </w:t>
      </w:r>
      <w:r w:rsidR="00517831">
        <w:rPr>
          <w:sz w:val="24"/>
          <w:szCs w:val="24"/>
        </w:rPr>
        <w:t>s</w:t>
      </w:r>
      <w:r w:rsidR="000E40D0">
        <w:rPr>
          <w:sz w:val="24"/>
          <w:szCs w:val="24"/>
        </w:rPr>
        <w:t xml:space="preserve">urgery, </w:t>
      </w:r>
      <w:r w:rsidR="00517831">
        <w:rPr>
          <w:sz w:val="24"/>
          <w:szCs w:val="24"/>
        </w:rPr>
        <w:t>c</w:t>
      </w:r>
      <w:r w:rsidR="000E40D0">
        <w:rPr>
          <w:sz w:val="24"/>
          <w:szCs w:val="24"/>
        </w:rPr>
        <w:t xml:space="preserve">olonoscopy, and </w:t>
      </w:r>
      <w:r w:rsidR="00517831">
        <w:rPr>
          <w:sz w:val="24"/>
          <w:szCs w:val="24"/>
        </w:rPr>
        <w:t>p</w:t>
      </w:r>
      <w:r w:rsidR="000E40D0">
        <w:rPr>
          <w:sz w:val="24"/>
          <w:szCs w:val="24"/>
        </w:rPr>
        <w:t xml:space="preserve">regnancy and </w:t>
      </w:r>
      <w:r w:rsidR="00517831">
        <w:rPr>
          <w:sz w:val="24"/>
          <w:szCs w:val="24"/>
        </w:rPr>
        <w:t>d</w:t>
      </w:r>
      <w:r w:rsidR="000E40D0">
        <w:rPr>
          <w:sz w:val="24"/>
          <w:szCs w:val="24"/>
        </w:rPr>
        <w:t xml:space="preserve">elivery.  </w:t>
      </w:r>
    </w:p>
    <w:p w14:paraId="5F1DF640" w14:textId="77777777" w:rsidR="00484577" w:rsidRPr="006E20FC" w:rsidRDefault="00484577" w:rsidP="00727A4D">
      <w:pPr>
        <w:tabs>
          <w:tab w:val="left" w:pos="360"/>
        </w:tabs>
        <w:rPr>
          <w:sz w:val="24"/>
          <w:szCs w:val="24"/>
        </w:rPr>
      </w:pPr>
      <w:r w:rsidRPr="00727A4D">
        <w:rPr>
          <w:sz w:val="24"/>
          <w:szCs w:val="24"/>
        </w:rPr>
        <w:lastRenderedPageBreak/>
        <w:t xml:space="preserve">Among the seven selected conditions, </w:t>
      </w:r>
      <w:r w:rsidR="00517831">
        <w:rPr>
          <w:sz w:val="24"/>
          <w:szCs w:val="24"/>
        </w:rPr>
        <w:t>p</w:t>
      </w:r>
      <w:r w:rsidRPr="00727A4D">
        <w:rPr>
          <w:sz w:val="24"/>
          <w:szCs w:val="24"/>
        </w:rPr>
        <w:t>neumonia had the highest proportion of total costs attributable to PACs in both Massachusetts (36</w:t>
      </w:r>
      <w:r w:rsidR="00517831">
        <w:rPr>
          <w:sz w:val="24"/>
          <w:szCs w:val="24"/>
        </w:rPr>
        <w:t>%</w:t>
      </w:r>
      <w:r w:rsidRPr="00727A4D">
        <w:rPr>
          <w:sz w:val="24"/>
          <w:szCs w:val="24"/>
        </w:rPr>
        <w:t>) and the nation</w:t>
      </w:r>
      <w:r w:rsidR="00743A8F">
        <w:rPr>
          <w:sz w:val="24"/>
          <w:szCs w:val="24"/>
        </w:rPr>
        <w:t xml:space="preserve"> </w:t>
      </w:r>
      <w:r w:rsidRPr="00727A4D">
        <w:rPr>
          <w:sz w:val="24"/>
          <w:szCs w:val="24"/>
        </w:rPr>
        <w:t>(30</w:t>
      </w:r>
      <w:r w:rsidR="00517831">
        <w:rPr>
          <w:sz w:val="24"/>
          <w:szCs w:val="24"/>
        </w:rPr>
        <w:t>%</w:t>
      </w:r>
      <w:r w:rsidRPr="00727A4D">
        <w:rPr>
          <w:sz w:val="24"/>
          <w:szCs w:val="24"/>
        </w:rPr>
        <w:t xml:space="preserve">). </w:t>
      </w:r>
    </w:p>
    <w:p w14:paraId="1B7CD5AF" w14:textId="77777777" w:rsidR="00885567" w:rsidRPr="0062406E" w:rsidRDefault="009764D1" w:rsidP="005828B0">
      <w:pPr>
        <w:tabs>
          <w:tab w:val="left" w:pos="360"/>
        </w:tabs>
        <w:rPr>
          <w:sz w:val="24"/>
          <w:szCs w:val="24"/>
        </w:rPr>
      </w:pPr>
      <w:r w:rsidRPr="00FD2DED">
        <w:rPr>
          <w:sz w:val="24"/>
          <w:szCs w:val="24"/>
        </w:rPr>
        <w:t>While comparability to national averages may be limited due to the exclusion of severity adjustment</w:t>
      </w:r>
      <w:r w:rsidR="000E40D0">
        <w:rPr>
          <w:sz w:val="24"/>
          <w:szCs w:val="24"/>
        </w:rPr>
        <w:t>s</w:t>
      </w:r>
      <w:r w:rsidRPr="00FD2DED">
        <w:rPr>
          <w:sz w:val="24"/>
          <w:szCs w:val="24"/>
        </w:rPr>
        <w:t xml:space="preserve">, these </w:t>
      </w:r>
      <w:r w:rsidR="000D1D89" w:rsidRPr="00FD2DED">
        <w:rPr>
          <w:sz w:val="24"/>
          <w:szCs w:val="24"/>
        </w:rPr>
        <w:t>findings are consistent with other studies of regional cost variation</w:t>
      </w:r>
      <w:r w:rsidR="00484577" w:rsidRPr="00FD2DED">
        <w:rPr>
          <w:sz w:val="24"/>
          <w:szCs w:val="24"/>
        </w:rPr>
        <w:t>.</w:t>
      </w:r>
      <w:r w:rsidR="000D1D89" w:rsidRPr="00FD2DED">
        <w:rPr>
          <w:rStyle w:val="FootnoteReference"/>
          <w:sz w:val="24"/>
          <w:szCs w:val="24"/>
        </w:rPr>
        <w:footnoteReference w:id="15"/>
      </w:r>
      <w:r w:rsidR="000D1D89" w:rsidRPr="00FD2DED">
        <w:rPr>
          <w:sz w:val="24"/>
          <w:szCs w:val="24"/>
        </w:rPr>
        <w:t xml:space="preserve"> </w:t>
      </w:r>
      <w:r w:rsidR="00326489" w:rsidRPr="00391354">
        <w:rPr>
          <w:sz w:val="24"/>
          <w:szCs w:val="24"/>
        </w:rPr>
        <w:t>V</w:t>
      </w:r>
      <w:r w:rsidR="00484577" w:rsidRPr="00326489">
        <w:rPr>
          <w:sz w:val="24"/>
          <w:szCs w:val="24"/>
        </w:rPr>
        <w:t>ariation</w:t>
      </w:r>
      <w:r w:rsidR="00326489" w:rsidRPr="00391354">
        <w:rPr>
          <w:sz w:val="24"/>
          <w:szCs w:val="24"/>
        </w:rPr>
        <w:t xml:space="preserve"> in the incidence and expense of PACs</w:t>
      </w:r>
      <w:r w:rsidR="00326489">
        <w:rPr>
          <w:sz w:val="24"/>
          <w:szCs w:val="24"/>
        </w:rPr>
        <w:t xml:space="preserve"> </w:t>
      </w:r>
      <w:r w:rsidR="00326489" w:rsidRPr="00367BBA">
        <w:rPr>
          <w:sz w:val="24"/>
          <w:szCs w:val="24"/>
        </w:rPr>
        <w:t xml:space="preserve">among providers and across </w:t>
      </w:r>
      <w:r w:rsidR="00FD2DED">
        <w:rPr>
          <w:sz w:val="24"/>
          <w:szCs w:val="24"/>
        </w:rPr>
        <w:t>geographies</w:t>
      </w:r>
      <w:r w:rsidR="00FD2DED" w:rsidRPr="00326489">
        <w:rPr>
          <w:sz w:val="24"/>
          <w:szCs w:val="24"/>
        </w:rPr>
        <w:t xml:space="preserve"> </w:t>
      </w:r>
      <w:r w:rsidR="00326489" w:rsidRPr="00391354">
        <w:rPr>
          <w:sz w:val="24"/>
          <w:szCs w:val="24"/>
        </w:rPr>
        <w:t>suggests that there are</w:t>
      </w:r>
      <w:r w:rsidR="00484577" w:rsidRPr="00326489">
        <w:rPr>
          <w:sz w:val="24"/>
          <w:szCs w:val="24"/>
        </w:rPr>
        <w:t xml:space="preserve"> inefficiencies</w:t>
      </w:r>
      <w:r w:rsidR="00326489" w:rsidRPr="00391354">
        <w:rPr>
          <w:sz w:val="24"/>
          <w:szCs w:val="24"/>
        </w:rPr>
        <w:t xml:space="preserve"> in the treatment of certain conditions</w:t>
      </w:r>
      <w:r w:rsidR="00231FE4">
        <w:rPr>
          <w:sz w:val="24"/>
          <w:szCs w:val="24"/>
        </w:rPr>
        <w:t>,</w:t>
      </w:r>
      <w:r w:rsidR="00484577" w:rsidRPr="00326489">
        <w:rPr>
          <w:sz w:val="24"/>
          <w:szCs w:val="24"/>
        </w:rPr>
        <w:t xml:space="preserve"> and opportunities </w:t>
      </w:r>
      <w:r w:rsidR="00326489" w:rsidRPr="00391354">
        <w:rPr>
          <w:sz w:val="24"/>
          <w:szCs w:val="24"/>
        </w:rPr>
        <w:t>to improve the</w:t>
      </w:r>
      <w:r w:rsidR="00484577" w:rsidRPr="00326489">
        <w:rPr>
          <w:sz w:val="24"/>
          <w:szCs w:val="24"/>
        </w:rPr>
        <w:t xml:space="preserve"> quality </w:t>
      </w:r>
      <w:r w:rsidR="00326489" w:rsidRPr="00391354">
        <w:rPr>
          <w:sz w:val="24"/>
          <w:szCs w:val="24"/>
        </w:rPr>
        <w:t xml:space="preserve">of care </w:t>
      </w:r>
      <w:r w:rsidR="00326489">
        <w:rPr>
          <w:sz w:val="24"/>
          <w:szCs w:val="24"/>
        </w:rPr>
        <w:t xml:space="preserve">that </w:t>
      </w:r>
      <w:r w:rsidR="00326489" w:rsidRPr="00391354">
        <w:rPr>
          <w:sz w:val="24"/>
          <w:szCs w:val="24"/>
        </w:rPr>
        <w:t>patients receive</w:t>
      </w:r>
      <w:r w:rsidR="00484577" w:rsidRPr="00326489">
        <w:rPr>
          <w:sz w:val="24"/>
          <w:szCs w:val="24"/>
        </w:rPr>
        <w:t>.</w:t>
      </w:r>
      <w:r w:rsidR="00484577">
        <w:rPr>
          <w:sz w:val="24"/>
          <w:szCs w:val="24"/>
        </w:rPr>
        <w:t xml:space="preserve"> </w:t>
      </w:r>
    </w:p>
    <w:p w14:paraId="1F1E6BA6" w14:textId="77777777" w:rsidR="00885567" w:rsidRPr="0062406E" w:rsidRDefault="00D11FFA" w:rsidP="005828B0">
      <w:pPr>
        <w:tabs>
          <w:tab w:val="left" w:pos="360"/>
        </w:tabs>
        <w:rPr>
          <w:rFonts w:cs="Arial"/>
          <w:b/>
          <w:bCs/>
          <w:sz w:val="24"/>
          <w:szCs w:val="24"/>
        </w:rPr>
      </w:pPr>
      <w:r w:rsidRPr="0062406E">
        <w:rPr>
          <w:rFonts w:cs="Arial"/>
          <w:b/>
          <w:bCs/>
          <w:sz w:val="24"/>
          <w:szCs w:val="24"/>
        </w:rPr>
        <w:t>Figure 4</w:t>
      </w:r>
      <w:r w:rsidR="00885567" w:rsidRPr="0062406E">
        <w:rPr>
          <w:rFonts w:cs="Arial"/>
          <w:b/>
          <w:bCs/>
          <w:sz w:val="24"/>
          <w:szCs w:val="24"/>
        </w:rPr>
        <w:t>: PAC Costs as a Percentage of Total Costs</w:t>
      </w:r>
    </w:p>
    <w:p w14:paraId="6D14874F" w14:textId="77777777" w:rsidR="00885567" w:rsidRPr="0062406E" w:rsidRDefault="00752C6E" w:rsidP="00885567">
      <w:pPr>
        <w:jc w:val="both"/>
      </w:pPr>
      <w:r w:rsidRPr="0062406E">
        <w:rPr>
          <w:noProof/>
        </w:rPr>
        <w:drawing>
          <wp:inline distT="0" distB="0" distL="0" distR="0" wp14:anchorId="7EA097ED" wp14:editId="71F16165">
            <wp:extent cx="5943600" cy="3686175"/>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97D0E5" w14:textId="77777777" w:rsidR="00A705BF" w:rsidRPr="0062406E" w:rsidRDefault="005828B0" w:rsidP="005828B0">
      <w:pPr>
        <w:rPr>
          <w:sz w:val="20"/>
          <w:szCs w:val="20"/>
        </w:rPr>
      </w:pPr>
      <w:r>
        <w:rPr>
          <w:sz w:val="20"/>
          <w:szCs w:val="20"/>
        </w:rPr>
        <w:t>Source:</w:t>
      </w:r>
      <w:r w:rsidR="00885567" w:rsidRPr="0062406E">
        <w:rPr>
          <w:sz w:val="20"/>
          <w:szCs w:val="20"/>
        </w:rPr>
        <w:t xml:space="preserve"> 2009 data from three Massachusetts private payers; 2008-</w:t>
      </w:r>
      <w:r w:rsidR="001F601F" w:rsidRPr="0062406E">
        <w:rPr>
          <w:sz w:val="20"/>
          <w:szCs w:val="20"/>
        </w:rPr>
        <w:t>20</w:t>
      </w:r>
      <w:r w:rsidR="001F601F">
        <w:rPr>
          <w:sz w:val="20"/>
          <w:szCs w:val="20"/>
        </w:rPr>
        <w:t>09</w:t>
      </w:r>
      <w:r w:rsidR="001F601F" w:rsidRPr="0062406E">
        <w:rPr>
          <w:sz w:val="20"/>
          <w:szCs w:val="20"/>
        </w:rPr>
        <w:t xml:space="preserve"> </w:t>
      </w:r>
      <w:r w:rsidR="00885567" w:rsidRPr="0062406E">
        <w:rPr>
          <w:sz w:val="20"/>
          <w:szCs w:val="20"/>
        </w:rPr>
        <w:t xml:space="preserve">data for private payers in all states provided by Health Care Incentive Improvement Institute. </w:t>
      </w:r>
    </w:p>
    <w:p w14:paraId="2635A9F3" w14:textId="77777777" w:rsidR="00CE6841" w:rsidRDefault="00484577" w:rsidP="005828B0">
      <w:pPr>
        <w:tabs>
          <w:tab w:val="left" w:pos="360"/>
        </w:tabs>
        <w:spacing w:before="240" w:after="240"/>
        <w:rPr>
          <w:rFonts w:cs="Arial"/>
          <w:bCs/>
          <w:sz w:val="20"/>
          <w:szCs w:val="20"/>
        </w:rPr>
      </w:pPr>
      <w:r w:rsidRPr="00391354">
        <w:rPr>
          <w:rFonts w:cs="Arial"/>
          <w:bCs/>
          <w:sz w:val="20"/>
          <w:szCs w:val="20"/>
        </w:rPr>
        <w:t xml:space="preserve">Note: </w:t>
      </w:r>
      <w:r w:rsidRPr="00391354">
        <w:rPr>
          <w:sz w:val="20"/>
          <w:szCs w:val="20"/>
        </w:rPr>
        <w:t xml:space="preserve">The proportion of total CABG costs attributable to PACs in Massachusetts is greater than the national maximum because </w:t>
      </w:r>
      <w:r w:rsidR="00FE4A59">
        <w:rPr>
          <w:sz w:val="20"/>
          <w:szCs w:val="20"/>
        </w:rPr>
        <w:t xml:space="preserve">Massachusetts </w:t>
      </w:r>
      <w:r w:rsidRPr="00391354">
        <w:rPr>
          <w:sz w:val="20"/>
          <w:szCs w:val="20"/>
        </w:rPr>
        <w:t xml:space="preserve">2009 data is from three payers, whereas 2008-2009 data from </w:t>
      </w:r>
      <w:r w:rsidR="008E4FD4">
        <w:rPr>
          <w:sz w:val="20"/>
          <w:szCs w:val="20"/>
        </w:rPr>
        <w:t xml:space="preserve">all </w:t>
      </w:r>
      <w:r w:rsidRPr="00391354">
        <w:rPr>
          <w:sz w:val="20"/>
          <w:szCs w:val="20"/>
        </w:rPr>
        <w:t>private payers in all states was used to calculate the national maximum.</w:t>
      </w:r>
      <w:r w:rsidR="00C56717">
        <w:rPr>
          <w:sz w:val="20"/>
          <w:szCs w:val="20"/>
        </w:rPr>
        <w:t xml:space="preserve"> </w:t>
      </w:r>
      <w:r w:rsidR="001F601F">
        <w:rPr>
          <w:sz w:val="20"/>
          <w:szCs w:val="20"/>
        </w:rPr>
        <w:t xml:space="preserve">Additionally, there may be differences between Massachusetts and the U.S. in patient severity that are not accounted for in this analysis. </w:t>
      </w:r>
    </w:p>
    <w:p w14:paraId="73C59110" w14:textId="77777777" w:rsidR="00A705BF" w:rsidRPr="005828B0" w:rsidRDefault="00A705BF" w:rsidP="005828B0">
      <w:pPr>
        <w:tabs>
          <w:tab w:val="left" w:pos="360"/>
        </w:tabs>
        <w:rPr>
          <w:rFonts w:cs="Arial"/>
          <w:b/>
          <w:bCs/>
          <w:sz w:val="24"/>
          <w:szCs w:val="24"/>
        </w:rPr>
      </w:pPr>
      <w:r w:rsidRPr="005828B0">
        <w:rPr>
          <w:b/>
          <w:sz w:val="24"/>
          <w:szCs w:val="24"/>
        </w:rPr>
        <w:t>Potential Savings from Bundled Payments</w:t>
      </w:r>
    </w:p>
    <w:p w14:paraId="7D5AFF15" w14:textId="77777777" w:rsidR="007D31AA" w:rsidRDefault="00837792" w:rsidP="005828B0">
      <w:pPr>
        <w:tabs>
          <w:tab w:val="left" w:pos="360"/>
        </w:tabs>
        <w:rPr>
          <w:sz w:val="24"/>
          <w:szCs w:val="24"/>
        </w:rPr>
      </w:pPr>
      <w:r>
        <w:rPr>
          <w:sz w:val="24"/>
          <w:szCs w:val="24"/>
        </w:rPr>
        <w:lastRenderedPageBreak/>
        <w:t>For the three payers in this simulation, t</w:t>
      </w:r>
      <w:r w:rsidR="007D31AA">
        <w:rPr>
          <w:sz w:val="24"/>
          <w:szCs w:val="24"/>
        </w:rPr>
        <w:t>he total cost for the seven conditions</w:t>
      </w:r>
      <w:r w:rsidR="00517831">
        <w:rPr>
          <w:sz w:val="24"/>
          <w:szCs w:val="24"/>
        </w:rPr>
        <w:t xml:space="preserve"> in 2009 </w:t>
      </w:r>
      <w:r w:rsidR="007D31AA">
        <w:rPr>
          <w:sz w:val="24"/>
          <w:szCs w:val="24"/>
        </w:rPr>
        <w:t xml:space="preserve">was $201 million. Applying a Prometheus Payment Model ECR with the PAC </w:t>
      </w:r>
      <w:r w:rsidR="00517831">
        <w:rPr>
          <w:sz w:val="24"/>
          <w:szCs w:val="24"/>
        </w:rPr>
        <w:t>a</w:t>
      </w:r>
      <w:r w:rsidR="007D31AA">
        <w:rPr>
          <w:sz w:val="24"/>
          <w:szCs w:val="24"/>
        </w:rPr>
        <w:t>llowance</w:t>
      </w:r>
      <w:r w:rsidR="00C2658E">
        <w:rPr>
          <w:sz w:val="24"/>
          <w:szCs w:val="24"/>
        </w:rPr>
        <w:t xml:space="preserve">, </w:t>
      </w:r>
      <w:r w:rsidR="00517831">
        <w:rPr>
          <w:sz w:val="24"/>
          <w:szCs w:val="24"/>
        </w:rPr>
        <w:t>t</w:t>
      </w:r>
      <w:r w:rsidR="00C2658E">
        <w:rPr>
          <w:sz w:val="24"/>
          <w:szCs w:val="24"/>
        </w:rPr>
        <w:t xml:space="preserve">ypical </w:t>
      </w:r>
      <w:r w:rsidR="00517831">
        <w:rPr>
          <w:sz w:val="24"/>
          <w:szCs w:val="24"/>
        </w:rPr>
        <w:t>c</w:t>
      </w:r>
      <w:r w:rsidR="00C2658E">
        <w:rPr>
          <w:sz w:val="24"/>
          <w:szCs w:val="24"/>
        </w:rPr>
        <w:t>osts,</w:t>
      </w:r>
      <w:r w:rsidR="007D31AA">
        <w:rPr>
          <w:sz w:val="24"/>
          <w:szCs w:val="24"/>
        </w:rPr>
        <w:t xml:space="preserve"> and </w:t>
      </w:r>
      <w:r w:rsidR="00517831">
        <w:rPr>
          <w:sz w:val="24"/>
          <w:szCs w:val="24"/>
        </w:rPr>
        <w:t>m</w:t>
      </w:r>
      <w:r w:rsidR="007D31AA">
        <w:rPr>
          <w:sz w:val="24"/>
          <w:szCs w:val="24"/>
        </w:rPr>
        <w:t>argin assumpt</w:t>
      </w:r>
      <w:r w:rsidR="005828B0">
        <w:rPr>
          <w:sz w:val="24"/>
          <w:szCs w:val="24"/>
        </w:rPr>
        <w:t>ions for each of the conditions</w:t>
      </w:r>
      <w:r w:rsidR="007D31AA">
        <w:rPr>
          <w:sz w:val="24"/>
          <w:szCs w:val="24"/>
        </w:rPr>
        <w:t xml:space="preserve"> would have resulted in an estimated cost of $175 million</w:t>
      </w:r>
      <w:r w:rsidR="00517831">
        <w:rPr>
          <w:sz w:val="24"/>
          <w:szCs w:val="24"/>
        </w:rPr>
        <w:t xml:space="preserve">, </w:t>
      </w:r>
      <w:r w:rsidR="007D31AA">
        <w:rPr>
          <w:sz w:val="24"/>
          <w:szCs w:val="24"/>
        </w:rPr>
        <w:t>a cost savings of $26 million or 12.8</w:t>
      </w:r>
      <w:r w:rsidR="00517831">
        <w:rPr>
          <w:sz w:val="24"/>
          <w:szCs w:val="24"/>
        </w:rPr>
        <w:t>%</w:t>
      </w:r>
      <w:r w:rsidR="007D31AA">
        <w:rPr>
          <w:sz w:val="24"/>
          <w:szCs w:val="24"/>
        </w:rPr>
        <w:t xml:space="preserve">. </w:t>
      </w:r>
    </w:p>
    <w:p w14:paraId="26F8B49A" w14:textId="77777777" w:rsidR="00E71BA0" w:rsidRDefault="00806653" w:rsidP="005828B0">
      <w:pPr>
        <w:tabs>
          <w:tab w:val="left" w:pos="360"/>
        </w:tabs>
        <w:rPr>
          <w:sz w:val="24"/>
          <w:szCs w:val="24"/>
        </w:rPr>
      </w:pPr>
      <w:r w:rsidRPr="00253EED">
        <w:rPr>
          <w:sz w:val="24"/>
          <w:szCs w:val="24"/>
        </w:rPr>
        <w:t xml:space="preserve">Most of these savings </w:t>
      </w:r>
      <w:r w:rsidR="007D31AA">
        <w:rPr>
          <w:sz w:val="24"/>
          <w:szCs w:val="24"/>
        </w:rPr>
        <w:t xml:space="preserve">would have </w:t>
      </w:r>
      <w:r w:rsidR="007960EE">
        <w:rPr>
          <w:sz w:val="24"/>
          <w:szCs w:val="24"/>
        </w:rPr>
        <w:t>resulted</w:t>
      </w:r>
      <w:r w:rsidRPr="00253EED">
        <w:rPr>
          <w:sz w:val="24"/>
          <w:szCs w:val="24"/>
        </w:rPr>
        <w:t xml:space="preserve"> from the reduction of PAC</w:t>
      </w:r>
      <w:r w:rsidR="007D31AA">
        <w:rPr>
          <w:sz w:val="24"/>
          <w:szCs w:val="24"/>
        </w:rPr>
        <w:t xml:space="preserve"> payments</w:t>
      </w:r>
      <w:r w:rsidR="00743A8F" w:rsidRPr="00253EED">
        <w:rPr>
          <w:sz w:val="24"/>
          <w:szCs w:val="24"/>
        </w:rPr>
        <w:t>.</w:t>
      </w:r>
      <w:r w:rsidRPr="00253EED">
        <w:rPr>
          <w:sz w:val="24"/>
          <w:szCs w:val="24"/>
        </w:rPr>
        <w:t xml:space="preserve"> </w:t>
      </w:r>
      <w:r w:rsidR="00E71BA0">
        <w:rPr>
          <w:sz w:val="24"/>
          <w:szCs w:val="24"/>
        </w:rPr>
        <w:t>Those conditions with high PACs</w:t>
      </w:r>
      <w:r w:rsidR="003531BE">
        <w:rPr>
          <w:sz w:val="24"/>
          <w:szCs w:val="24"/>
        </w:rPr>
        <w:t xml:space="preserve">, as a percentage of total </w:t>
      </w:r>
      <w:r w:rsidR="00E86B8A">
        <w:rPr>
          <w:sz w:val="24"/>
          <w:szCs w:val="24"/>
        </w:rPr>
        <w:t xml:space="preserve">actual </w:t>
      </w:r>
      <w:r w:rsidR="003531BE">
        <w:rPr>
          <w:sz w:val="24"/>
          <w:szCs w:val="24"/>
        </w:rPr>
        <w:t>costs,</w:t>
      </w:r>
      <w:r w:rsidR="00E71BA0">
        <w:rPr>
          <w:sz w:val="24"/>
          <w:szCs w:val="24"/>
        </w:rPr>
        <w:t xml:space="preserve"> and a high number of episodes</w:t>
      </w:r>
      <w:r w:rsidR="00517831">
        <w:rPr>
          <w:sz w:val="24"/>
          <w:szCs w:val="24"/>
        </w:rPr>
        <w:t>,</w:t>
      </w:r>
      <w:r w:rsidR="00E71BA0">
        <w:rPr>
          <w:sz w:val="24"/>
          <w:szCs w:val="24"/>
        </w:rPr>
        <w:t xml:space="preserve"> resulted in the greatest cost savings</w:t>
      </w:r>
      <w:r w:rsidR="00AE01F5">
        <w:rPr>
          <w:sz w:val="24"/>
          <w:szCs w:val="24"/>
        </w:rPr>
        <w:t xml:space="preserve"> (Table 2)</w:t>
      </w:r>
      <w:r w:rsidR="00E71BA0">
        <w:rPr>
          <w:sz w:val="24"/>
          <w:szCs w:val="24"/>
        </w:rPr>
        <w:t xml:space="preserve">. </w:t>
      </w:r>
      <w:r w:rsidR="00AE01F5">
        <w:rPr>
          <w:sz w:val="24"/>
          <w:szCs w:val="24"/>
        </w:rPr>
        <w:t xml:space="preserve">Pregnancy and </w:t>
      </w:r>
      <w:r w:rsidR="00517831">
        <w:rPr>
          <w:sz w:val="24"/>
          <w:szCs w:val="24"/>
        </w:rPr>
        <w:t>d</w:t>
      </w:r>
      <w:r w:rsidR="00AE01F5">
        <w:rPr>
          <w:sz w:val="24"/>
          <w:szCs w:val="24"/>
        </w:rPr>
        <w:t>elivery, for instance, with PAC costs at 19.5</w:t>
      </w:r>
      <w:r w:rsidR="00677131">
        <w:rPr>
          <w:sz w:val="24"/>
          <w:szCs w:val="24"/>
        </w:rPr>
        <w:t>%</w:t>
      </w:r>
      <w:r w:rsidR="00AE01F5">
        <w:rPr>
          <w:sz w:val="24"/>
          <w:szCs w:val="24"/>
        </w:rPr>
        <w:t xml:space="preserve"> of total actual costs, and the second highest number of episodes of the conditions reviewed, would have resulted in the greatest total estimated savings at $9.4 million. </w:t>
      </w:r>
      <w:r w:rsidR="00677131">
        <w:rPr>
          <w:sz w:val="24"/>
          <w:szCs w:val="24"/>
        </w:rPr>
        <w:t>With a</w:t>
      </w:r>
      <w:r w:rsidR="007960EE">
        <w:rPr>
          <w:sz w:val="24"/>
          <w:szCs w:val="24"/>
        </w:rPr>
        <w:t xml:space="preserve"> fewer number of episodes</w:t>
      </w:r>
      <w:r w:rsidR="00677131">
        <w:rPr>
          <w:sz w:val="24"/>
          <w:szCs w:val="24"/>
        </w:rPr>
        <w:t xml:space="preserve"> but</w:t>
      </w:r>
      <w:r w:rsidR="00517831">
        <w:rPr>
          <w:sz w:val="24"/>
          <w:szCs w:val="24"/>
        </w:rPr>
        <w:t xml:space="preserve"> </w:t>
      </w:r>
      <w:r w:rsidR="00AE01F5">
        <w:rPr>
          <w:sz w:val="24"/>
          <w:szCs w:val="24"/>
        </w:rPr>
        <w:t xml:space="preserve">a </w:t>
      </w:r>
      <w:r w:rsidR="007960EE">
        <w:rPr>
          <w:sz w:val="24"/>
          <w:szCs w:val="24"/>
        </w:rPr>
        <w:t>higher</w:t>
      </w:r>
      <w:r w:rsidR="00AE01F5">
        <w:rPr>
          <w:sz w:val="24"/>
          <w:szCs w:val="24"/>
        </w:rPr>
        <w:t xml:space="preserve"> percentage of PAC costs, </w:t>
      </w:r>
      <w:r w:rsidR="00677131">
        <w:rPr>
          <w:sz w:val="24"/>
          <w:szCs w:val="24"/>
        </w:rPr>
        <w:t>AMI followed with</w:t>
      </w:r>
      <w:r w:rsidR="00AE01F5">
        <w:rPr>
          <w:sz w:val="24"/>
          <w:szCs w:val="24"/>
        </w:rPr>
        <w:t xml:space="preserve"> </w:t>
      </w:r>
      <w:r w:rsidR="00517831">
        <w:rPr>
          <w:sz w:val="24"/>
          <w:szCs w:val="24"/>
        </w:rPr>
        <w:t xml:space="preserve">an estimated </w:t>
      </w:r>
      <w:r w:rsidR="00AE01F5">
        <w:rPr>
          <w:sz w:val="24"/>
          <w:szCs w:val="24"/>
        </w:rPr>
        <w:t xml:space="preserve">$4.8 million total cost savings. </w:t>
      </w:r>
    </w:p>
    <w:p w14:paraId="2E35480C" w14:textId="77777777" w:rsidR="00AE01F5" w:rsidRDefault="00AE01F5" w:rsidP="00677131">
      <w:pPr>
        <w:tabs>
          <w:tab w:val="left" w:pos="360"/>
        </w:tabs>
        <w:rPr>
          <w:sz w:val="24"/>
          <w:szCs w:val="24"/>
        </w:rPr>
      </w:pPr>
      <w:r>
        <w:rPr>
          <w:sz w:val="24"/>
          <w:szCs w:val="24"/>
        </w:rPr>
        <w:t>As previously discussed</w:t>
      </w:r>
      <w:r w:rsidR="00E86B8A">
        <w:rPr>
          <w:sz w:val="24"/>
          <w:szCs w:val="24"/>
        </w:rPr>
        <w:t xml:space="preserve">, total estimated savings are not solely tied to </w:t>
      </w:r>
      <w:r>
        <w:rPr>
          <w:sz w:val="24"/>
          <w:szCs w:val="24"/>
        </w:rPr>
        <w:t>PAC cost</w:t>
      </w:r>
      <w:r w:rsidR="00E86B8A">
        <w:rPr>
          <w:sz w:val="24"/>
          <w:szCs w:val="24"/>
        </w:rPr>
        <w:t>s</w:t>
      </w:r>
      <w:r w:rsidR="007960EE">
        <w:rPr>
          <w:sz w:val="24"/>
          <w:szCs w:val="24"/>
        </w:rPr>
        <w:t>.  Negotiated m</w:t>
      </w:r>
      <w:r>
        <w:rPr>
          <w:sz w:val="24"/>
          <w:szCs w:val="24"/>
        </w:rPr>
        <w:t xml:space="preserve">argins and savings </w:t>
      </w:r>
      <w:r w:rsidR="007960EE">
        <w:rPr>
          <w:sz w:val="24"/>
          <w:szCs w:val="24"/>
        </w:rPr>
        <w:t xml:space="preserve">derived </w:t>
      </w:r>
      <w:r>
        <w:rPr>
          <w:sz w:val="24"/>
          <w:szCs w:val="24"/>
        </w:rPr>
        <w:t xml:space="preserve">from following clinically-prescribed “typical cost” procedures can also counter and </w:t>
      </w:r>
      <w:r w:rsidR="007960EE">
        <w:rPr>
          <w:sz w:val="24"/>
          <w:szCs w:val="24"/>
        </w:rPr>
        <w:t>support</w:t>
      </w:r>
      <w:r>
        <w:rPr>
          <w:sz w:val="24"/>
          <w:szCs w:val="24"/>
        </w:rPr>
        <w:t xml:space="preserve"> cost savings, respectively. This is seen most clearly with</w:t>
      </w:r>
      <w:r w:rsidR="00257F70">
        <w:rPr>
          <w:sz w:val="24"/>
          <w:szCs w:val="24"/>
        </w:rPr>
        <w:t>in this analysis’</w:t>
      </w:r>
      <w:r>
        <w:rPr>
          <w:sz w:val="24"/>
          <w:szCs w:val="24"/>
        </w:rPr>
        <w:t xml:space="preserve"> </w:t>
      </w:r>
      <w:r w:rsidR="00517831">
        <w:rPr>
          <w:sz w:val="24"/>
          <w:szCs w:val="24"/>
        </w:rPr>
        <w:t>c</w:t>
      </w:r>
      <w:r>
        <w:rPr>
          <w:sz w:val="24"/>
          <w:szCs w:val="24"/>
        </w:rPr>
        <w:t>olonoscopy</w:t>
      </w:r>
      <w:r w:rsidR="00257F70">
        <w:rPr>
          <w:sz w:val="24"/>
          <w:szCs w:val="24"/>
        </w:rPr>
        <w:t xml:space="preserve"> example</w:t>
      </w:r>
      <w:r>
        <w:rPr>
          <w:sz w:val="24"/>
          <w:szCs w:val="24"/>
        </w:rPr>
        <w:t>.</w:t>
      </w:r>
      <w:r w:rsidR="007960EE">
        <w:rPr>
          <w:sz w:val="24"/>
          <w:szCs w:val="24"/>
        </w:rPr>
        <w:t xml:space="preserve"> </w:t>
      </w:r>
      <w:r w:rsidR="00257F70">
        <w:rPr>
          <w:sz w:val="24"/>
          <w:szCs w:val="24"/>
        </w:rPr>
        <w:t xml:space="preserve">While </w:t>
      </w:r>
      <w:r w:rsidR="007960EE">
        <w:rPr>
          <w:sz w:val="24"/>
          <w:szCs w:val="24"/>
        </w:rPr>
        <w:t xml:space="preserve">an </w:t>
      </w:r>
      <w:r w:rsidR="00257F70">
        <w:rPr>
          <w:sz w:val="24"/>
          <w:szCs w:val="24"/>
        </w:rPr>
        <w:t>estimated 50</w:t>
      </w:r>
      <w:r w:rsidR="00677131">
        <w:rPr>
          <w:sz w:val="24"/>
          <w:szCs w:val="24"/>
        </w:rPr>
        <w:t>%</w:t>
      </w:r>
      <w:r w:rsidR="00257F70">
        <w:rPr>
          <w:sz w:val="24"/>
          <w:szCs w:val="24"/>
        </w:rPr>
        <w:t xml:space="preserve"> PAC reduction would have resulted in a 6.4</w:t>
      </w:r>
      <w:r w:rsidR="00677131">
        <w:rPr>
          <w:sz w:val="24"/>
          <w:szCs w:val="24"/>
        </w:rPr>
        <w:t>%</w:t>
      </w:r>
      <w:r w:rsidR="00257F70">
        <w:rPr>
          <w:sz w:val="24"/>
          <w:szCs w:val="24"/>
        </w:rPr>
        <w:t xml:space="preserve"> savings on the procedure, the assumed </w:t>
      </w:r>
      <w:r w:rsidR="00517831">
        <w:rPr>
          <w:sz w:val="24"/>
          <w:szCs w:val="24"/>
        </w:rPr>
        <w:t xml:space="preserve">constant </w:t>
      </w:r>
      <w:r w:rsidR="00257F70">
        <w:rPr>
          <w:sz w:val="24"/>
          <w:szCs w:val="24"/>
        </w:rPr>
        <w:t xml:space="preserve">margin </w:t>
      </w:r>
      <w:r w:rsidR="007960EE">
        <w:rPr>
          <w:sz w:val="24"/>
          <w:szCs w:val="24"/>
        </w:rPr>
        <w:t>of 10</w:t>
      </w:r>
      <w:r w:rsidR="00517831">
        <w:rPr>
          <w:sz w:val="24"/>
          <w:szCs w:val="24"/>
        </w:rPr>
        <w:t>%</w:t>
      </w:r>
      <w:r w:rsidR="007960EE">
        <w:rPr>
          <w:sz w:val="24"/>
          <w:szCs w:val="24"/>
        </w:rPr>
        <w:t xml:space="preserve"> </w:t>
      </w:r>
      <w:r w:rsidR="00257F70">
        <w:rPr>
          <w:sz w:val="24"/>
          <w:szCs w:val="24"/>
        </w:rPr>
        <w:t>reduced the procedure’s overall savings to 0.8</w:t>
      </w:r>
      <w:r w:rsidR="00517831">
        <w:rPr>
          <w:sz w:val="24"/>
          <w:szCs w:val="24"/>
        </w:rPr>
        <w:t>5</w:t>
      </w:r>
      <w:r w:rsidR="00677131">
        <w:rPr>
          <w:sz w:val="24"/>
          <w:szCs w:val="24"/>
        </w:rPr>
        <w:t>%</w:t>
      </w:r>
      <w:r w:rsidR="007960EE">
        <w:rPr>
          <w:sz w:val="24"/>
          <w:szCs w:val="24"/>
        </w:rPr>
        <w:t>.</w:t>
      </w:r>
      <w:r w:rsidR="00257F70">
        <w:rPr>
          <w:rStyle w:val="FootnoteReference"/>
          <w:sz w:val="24"/>
          <w:szCs w:val="24"/>
        </w:rPr>
        <w:footnoteReference w:id="16"/>
      </w:r>
      <w:r w:rsidR="00257F70">
        <w:rPr>
          <w:sz w:val="24"/>
          <w:szCs w:val="24"/>
        </w:rPr>
        <w:t xml:space="preserve"> Such examples further emphasize the need</w:t>
      </w:r>
      <w:r w:rsidR="00677131">
        <w:rPr>
          <w:sz w:val="24"/>
          <w:szCs w:val="24"/>
        </w:rPr>
        <w:t xml:space="preserve"> </w:t>
      </w:r>
      <w:r w:rsidR="00257F70">
        <w:rPr>
          <w:sz w:val="24"/>
          <w:szCs w:val="24"/>
        </w:rPr>
        <w:t>to be aware of and to account for these dynamic factors</w:t>
      </w:r>
      <w:r w:rsidR="007960EE">
        <w:rPr>
          <w:sz w:val="24"/>
          <w:szCs w:val="24"/>
        </w:rPr>
        <w:t xml:space="preserve"> when targeting bundled payment use</w:t>
      </w:r>
      <w:r w:rsidR="00257F70">
        <w:rPr>
          <w:sz w:val="24"/>
          <w:szCs w:val="24"/>
        </w:rPr>
        <w:t xml:space="preserve">. </w:t>
      </w:r>
    </w:p>
    <w:p w14:paraId="4D19AE81" w14:textId="77777777" w:rsidR="00E86B8A" w:rsidRDefault="00E86B8A" w:rsidP="00677131">
      <w:pPr>
        <w:tabs>
          <w:tab w:val="left" w:pos="360"/>
        </w:tabs>
        <w:rPr>
          <w:sz w:val="24"/>
          <w:szCs w:val="24"/>
        </w:rPr>
      </w:pPr>
      <w:r>
        <w:rPr>
          <w:sz w:val="24"/>
          <w:szCs w:val="24"/>
        </w:rPr>
        <w:t xml:space="preserve">While </w:t>
      </w:r>
      <w:r w:rsidR="00517831">
        <w:rPr>
          <w:sz w:val="24"/>
          <w:szCs w:val="24"/>
        </w:rPr>
        <w:t>c</w:t>
      </w:r>
      <w:r>
        <w:rPr>
          <w:sz w:val="24"/>
          <w:szCs w:val="24"/>
        </w:rPr>
        <w:t>olonoscopy had the lowest total estimated savings at 0.8</w:t>
      </w:r>
      <w:r w:rsidR="00677131">
        <w:rPr>
          <w:sz w:val="24"/>
          <w:szCs w:val="24"/>
        </w:rPr>
        <w:t>5</w:t>
      </w:r>
      <w:r w:rsidR="00517831">
        <w:rPr>
          <w:sz w:val="24"/>
          <w:szCs w:val="24"/>
        </w:rPr>
        <w:t>%</w:t>
      </w:r>
      <w:r w:rsidR="00837792">
        <w:rPr>
          <w:sz w:val="24"/>
          <w:szCs w:val="24"/>
        </w:rPr>
        <w:t xml:space="preserve"> ($0.9 million)</w:t>
      </w:r>
      <w:r>
        <w:rPr>
          <w:sz w:val="24"/>
          <w:szCs w:val="24"/>
        </w:rPr>
        <w:t xml:space="preserve">, the remaining conditions and procedures all saw </w:t>
      </w:r>
      <w:r w:rsidR="00677131">
        <w:rPr>
          <w:sz w:val="24"/>
          <w:szCs w:val="24"/>
        </w:rPr>
        <w:t>greater</w:t>
      </w:r>
      <w:r>
        <w:rPr>
          <w:sz w:val="24"/>
          <w:szCs w:val="24"/>
        </w:rPr>
        <w:t xml:space="preserve"> savings</w:t>
      </w:r>
      <w:r w:rsidR="00677131">
        <w:rPr>
          <w:sz w:val="24"/>
          <w:szCs w:val="24"/>
        </w:rPr>
        <w:t>,</w:t>
      </w:r>
      <w:r>
        <w:rPr>
          <w:sz w:val="24"/>
          <w:szCs w:val="24"/>
        </w:rPr>
        <w:t xml:space="preserve"> ranging from 10.</w:t>
      </w:r>
      <w:r w:rsidR="00517831">
        <w:rPr>
          <w:sz w:val="24"/>
          <w:szCs w:val="24"/>
        </w:rPr>
        <w:t>3%</w:t>
      </w:r>
      <w:r>
        <w:rPr>
          <w:sz w:val="24"/>
          <w:szCs w:val="24"/>
        </w:rPr>
        <w:t xml:space="preserve"> (</w:t>
      </w:r>
      <w:r w:rsidR="00517831">
        <w:rPr>
          <w:sz w:val="24"/>
          <w:szCs w:val="24"/>
        </w:rPr>
        <w:t>b</w:t>
      </w:r>
      <w:r>
        <w:rPr>
          <w:sz w:val="24"/>
          <w:szCs w:val="24"/>
        </w:rPr>
        <w:t xml:space="preserve">ariatric </w:t>
      </w:r>
      <w:r w:rsidR="00517831">
        <w:rPr>
          <w:sz w:val="24"/>
          <w:szCs w:val="24"/>
        </w:rPr>
        <w:t>s</w:t>
      </w:r>
      <w:r>
        <w:rPr>
          <w:sz w:val="24"/>
          <w:szCs w:val="24"/>
        </w:rPr>
        <w:t>urgery</w:t>
      </w:r>
      <w:r w:rsidR="00837792">
        <w:rPr>
          <w:sz w:val="24"/>
          <w:szCs w:val="24"/>
        </w:rPr>
        <w:t>, $1.1 million</w:t>
      </w:r>
      <w:r>
        <w:rPr>
          <w:sz w:val="24"/>
          <w:szCs w:val="24"/>
        </w:rPr>
        <w:t>) to 44.2</w:t>
      </w:r>
      <w:r w:rsidR="00517831">
        <w:rPr>
          <w:sz w:val="24"/>
          <w:szCs w:val="24"/>
        </w:rPr>
        <w:t>%</w:t>
      </w:r>
      <w:r>
        <w:rPr>
          <w:sz w:val="24"/>
          <w:szCs w:val="24"/>
        </w:rPr>
        <w:t xml:space="preserve"> (CABG</w:t>
      </w:r>
      <w:r w:rsidR="00837792">
        <w:rPr>
          <w:sz w:val="24"/>
          <w:szCs w:val="24"/>
        </w:rPr>
        <w:t>, $4 million</w:t>
      </w:r>
      <w:r>
        <w:rPr>
          <w:sz w:val="24"/>
          <w:szCs w:val="24"/>
        </w:rPr>
        <w:t xml:space="preserve">), as compared to </w:t>
      </w:r>
      <w:r w:rsidR="007960EE">
        <w:rPr>
          <w:sz w:val="24"/>
          <w:szCs w:val="24"/>
        </w:rPr>
        <w:t>payment for the conditions in 2009 using fee-for-service</w:t>
      </w:r>
      <w:r>
        <w:rPr>
          <w:sz w:val="24"/>
          <w:szCs w:val="24"/>
        </w:rPr>
        <w:t xml:space="preserve">. </w:t>
      </w:r>
    </w:p>
    <w:p w14:paraId="6D4862E7" w14:textId="77777777" w:rsidR="00BD77C4" w:rsidRDefault="00BD77C4" w:rsidP="00677131">
      <w:pPr>
        <w:tabs>
          <w:tab w:val="left" w:pos="360"/>
        </w:tabs>
        <w:rPr>
          <w:sz w:val="24"/>
          <w:szCs w:val="24"/>
        </w:rPr>
      </w:pPr>
      <w:r>
        <w:rPr>
          <w:sz w:val="24"/>
          <w:szCs w:val="24"/>
        </w:rPr>
        <w:t xml:space="preserve">Excluding </w:t>
      </w:r>
      <w:r w:rsidR="00677131">
        <w:rPr>
          <w:sz w:val="24"/>
          <w:szCs w:val="24"/>
        </w:rPr>
        <w:t>c</w:t>
      </w:r>
      <w:r>
        <w:rPr>
          <w:sz w:val="24"/>
          <w:szCs w:val="24"/>
        </w:rPr>
        <w:t>olonoscopy</w:t>
      </w:r>
      <w:r w:rsidR="00837792">
        <w:rPr>
          <w:sz w:val="24"/>
          <w:szCs w:val="24"/>
        </w:rPr>
        <w:t>,</w:t>
      </w:r>
      <w:r w:rsidRPr="00BD77C4">
        <w:rPr>
          <w:rStyle w:val="FootnoteReference"/>
          <w:sz w:val="24"/>
          <w:szCs w:val="24"/>
        </w:rPr>
        <w:footnoteReference w:id="17"/>
      </w:r>
      <w:r>
        <w:rPr>
          <w:sz w:val="24"/>
          <w:szCs w:val="24"/>
        </w:rPr>
        <w:t xml:space="preserve"> total estimated savings for the remaining six conditions was $25 million or 26.7</w:t>
      </w:r>
      <w:r w:rsidR="00677131">
        <w:rPr>
          <w:sz w:val="24"/>
          <w:szCs w:val="24"/>
        </w:rPr>
        <w:t>%</w:t>
      </w:r>
      <w:r>
        <w:rPr>
          <w:sz w:val="24"/>
          <w:szCs w:val="24"/>
        </w:rPr>
        <w:t xml:space="preserve"> </w:t>
      </w:r>
      <w:r w:rsidR="00A47567">
        <w:rPr>
          <w:sz w:val="24"/>
          <w:szCs w:val="24"/>
        </w:rPr>
        <w:t>of actual</w:t>
      </w:r>
      <w:r w:rsidR="00677131">
        <w:rPr>
          <w:sz w:val="24"/>
          <w:szCs w:val="24"/>
        </w:rPr>
        <w:t xml:space="preserve"> costs in</w:t>
      </w:r>
      <w:r>
        <w:rPr>
          <w:sz w:val="24"/>
          <w:szCs w:val="24"/>
        </w:rPr>
        <w:t xml:space="preserve"> </w:t>
      </w:r>
      <w:r w:rsidR="007960EE">
        <w:rPr>
          <w:sz w:val="24"/>
          <w:szCs w:val="24"/>
        </w:rPr>
        <w:t>2009</w:t>
      </w:r>
      <w:r>
        <w:rPr>
          <w:sz w:val="24"/>
          <w:szCs w:val="24"/>
        </w:rPr>
        <w:t>.</w:t>
      </w:r>
    </w:p>
    <w:p w14:paraId="0D07222B" w14:textId="77777777" w:rsidR="00B37F59" w:rsidRDefault="00B37F59" w:rsidP="00A705BF">
      <w:pPr>
        <w:tabs>
          <w:tab w:val="left" w:pos="360"/>
        </w:tabs>
        <w:jc w:val="both"/>
        <w:rPr>
          <w:sz w:val="24"/>
          <w:szCs w:val="24"/>
        </w:rPr>
      </w:pPr>
    </w:p>
    <w:p w14:paraId="65B694F9" w14:textId="77777777" w:rsidR="00677131" w:rsidRDefault="00677131" w:rsidP="00A705BF">
      <w:pPr>
        <w:tabs>
          <w:tab w:val="left" w:pos="360"/>
        </w:tabs>
        <w:jc w:val="both"/>
        <w:rPr>
          <w:sz w:val="24"/>
          <w:szCs w:val="24"/>
        </w:rPr>
      </w:pPr>
    </w:p>
    <w:p w14:paraId="287E0DFE" w14:textId="77777777" w:rsidR="00677131" w:rsidRDefault="00677131" w:rsidP="00A705BF">
      <w:pPr>
        <w:tabs>
          <w:tab w:val="left" w:pos="360"/>
        </w:tabs>
        <w:jc w:val="both"/>
        <w:rPr>
          <w:sz w:val="24"/>
          <w:szCs w:val="24"/>
        </w:rPr>
      </w:pPr>
    </w:p>
    <w:p w14:paraId="06EB9495" w14:textId="77777777" w:rsidR="00677131" w:rsidRDefault="00677131" w:rsidP="00A705BF">
      <w:pPr>
        <w:tabs>
          <w:tab w:val="left" w:pos="360"/>
        </w:tabs>
        <w:jc w:val="both"/>
        <w:rPr>
          <w:sz w:val="24"/>
          <w:szCs w:val="24"/>
        </w:rPr>
      </w:pPr>
    </w:p>
    <w:p w14:paraId="16AFBA4D" w14:textId="77777777" w:rsidR="00B37F59" w:rsidRDefault="00B37F59" w:rsidP="00A705BF">
      <w:pPr>
        <w:tabs>
          <w:tab w:val="left" w:pos="360"/>
        </w:tabs>
        <w:jc w:val="both"/>
        <w:rPr>
          <w:sz w:val="24"/>
          <w:szCs w:val="24"/>
        </w:rPr>
      </w:pPr>
    </w:p>
    <w:p w14:paraId="6E8AC8DA" w14:textId="77777777" w:rsidR="00A705BF" w:rsidRPr="0062406E" w:rsidRDefault="00A705BF" w:rsidP="00A705BF">
      <w:pPr>
        <w:spacing w:after="0"/>
        <w:jc w:val="both"/>
        <w:rPr>
          <w:b/>
          <w:sz w:val="24"/>
          <w:szCs w:val="24"/>
        </w:rPr>
      </w:pPr>
      <w:r w:rsidRPr="0062406E">
        <w:rPr>
          <w:b/>
          <w:sz w:val="24"/>
          <w:szCs w:val="24"/>
        </w:rPr>
        <w:lastRenderedPageBreak/>
        <w:t xml:space="preserve">Table </w:t>
      </w:r>
      <w:r w:rsidR="00363CA7" w:rsidRPr="0062406E">
        <w:rPr>
          <w:b/>
          <w:sz w:val="24"/>
          <w:szCs w:val="24"/>
        </w:rPr>
        <w:t>2</w:t>
      </w:r>
      <w:r w:rsidRPr="0062406E">
        <w:rPr>
          <w:b/>
          <w:sz w:val="24"/>
          <w:szCs w:val="24"/>
        </w:rPr>
        <w:t>: Potential Savings from Bundled Payments for the Selected Conditions</w:t>
      </w:r>
      <w:r w:rsidR="008559EC" w:rsidRPr="008559EC">
        <w:rPr>
          <w:rStyle w:val="FootnoteReference"/>
          <w:color w:val="000000"/>
        </w:rPr>
        <w:footnoteReference w:id="18"/>
      </w:r>
    </w:p>
    <w:tbl>
      <w:tblPr>
        <w:tblStyle w:val="TableGrid"/>
        <w:tblW w:w="0" w:type="auto"/>
        <w:tblLayout w:type="fixed"/>
        <w:tblLook w:val="04A0" w:firstRow="1" w:lastRow="0" w:firstColumn="1" w:lastColumn="0" w:noHBand="0" w:noVBand="1"/>
      </w:tblPr>
      <w:tblGrid>
        <w:gridCol w:w="2358"/>
        <w:gridCol w:w="1080"/>
        <w:gridCol w:w="1350"/>
        <w:gridCol w:w="1350"/>
        <w:gridCol w:w="1260"/>
        <w:gridCol w:w="1170"/>
        <w:gridCol w:w="1008"/>
      </w:tblGrid>
      <w:tr w:rsidR="00A705BF" w:rsidRPr="0062406E" w14:paraId="5F1A61BA" w14:textId="77777777" w:rsidTr="00A705BF">
        <w:tc>
          <w:tcPr>
            <w:tcW w:w="2358" w:type="dxa"/>
            <w:vAlign w:val="center"/>
          </w:tcPr>
          <w:p w14:paraId="5D484BD4" w14:textId="77777777" w:rsidR="00A705BF" w:rsidRPr="0062406E" w:rsidRDefault="00E71BA0" w:rsidP="00E71BA0">
            <w:pPr>
              <w:rPr>
                <w:b/>
                <w:bCs/>
                <w:color w:val="000000"/>
              </w:rPr>
            </w:pPr>
            <w:r>
              <w:rPr>
                <w:b/>
                <w:bCs/>
                <w:color w:val="000000"/>
              </w:rPr>
              <w:t>Condition</w:t>
            </w:r>
          </w:p>
        </w:tc>
        <w:tc>
          <w:tcPr>
            <w:tcW w:w="1080" w:type="dxa"/>
            <w:vAlign w:val="center"/>
          </w:tcPr>
          <w:p w14:paraId="3991EEF0" w14:textId="77777777" w:rsidR="00A705BF" w:rsidRPr="0062406E" w:rsidRDefault="00A705BF" w:rsidP="00A705BF">
            <w:pPr>
              <w:jc w:val="center"/>
              <w:rPr>
                <w:b/>
                <w:bCs/>
                <w:color w:val="000000"/>
              </w:rPr>
            </w:pPr>
            <w:r w:rsidRPr="0062406E">
              <w:rPr>
                <w:b/>
                <w:bCs/>
                <w:color w:val="000000"/>
              </w:rPr>
              <w:t># of Episodes</w:t>
            </w:r>
          </w:p>
        </w:tc>
        <w:tc>
          <w:tcPr>
            <w:tcW w:w="1350" w:type="dxa"/>
            <w:vAlign w:val="center"/>
          </w:tcPr>
          <w:p w14:paraId="2E884EBF" w14:textId="77777777" w:rsidR="00982B2E" w:rsidRPr="0062406E" w:rsidRDefault="00A705BF" w:rsidP="00982B2E">
            <w:pPr>
              <w:jc w:val="center"/>
              <w:rPr>
                <w:b/>
              </w:rPr>
            </w:pPr>
            <w:r w:rsidRPr="0062406E">
              <w:rPr>
                <w:b/>
              </w:rPr>
              <w:t xml:space="preserve">Total </w:t>
            </w:r>
            <w:r w:rsidR="00E71BA0">
              <w:rPr>
                <w:b/>
              </w:rPr>
              <w:t xml:space="preserve">Actual </w:t>
            </w:r>
            <w:r w:rsidR="00982B2E" w:rsidRPr="0062406E">
              <w:rPr>
                <w:b/>
              </w:rPr>
              <w:t>Cost</w:t>
            </w:r>
          </w:p>
          <w:p w14:paraId="3E41BBE5" w14:textId="77777777" w:rsidR="00A705BF" w:rsidRPr="0062406E" w:rsidRDefault="00A705BF" w:rsidP="00982B2E">
            <w:pPr>
              <w:jc w:val="center"/>
              <w:rPr>
                <w:b/>
              </w:rPr>
            </w:pPr>
            <w:r w:rsidRPr="0062406E">
              <w:rPr>
                <w:b/>
              </w:rPr>
              <w:t>(million)</w:t>
            </w:r>
          </w:p>
        </w:tc>
        <w:tc>
          <w:tcPr>
            <w:tcW w:w="1350" w:type="dxa"/>
            <w:vAlign w:val="center"/>
          </w:tcPr>
          <w:p w14:paraId="7AD2171B" w14:textId="77777777" w:rsidR="00A705BF" w:rsidRPr="0062406E" w:rsidRDefault="00A705BF" w:rsidP="00982B2E">
            <w:pPr>
              <w:jc w:val="center"/>
              <w:rPr>
                <w:b/>
                <w:bCs/>
                <w:color w:val="000000"/>
              </w:rPr>
            </w:pPr>
            <w:r w:rsidRPr="0062406E">
              <w:rPr>
                <w:b/>
                <w:bCs/>
                <w:color w:val="000000"/>
              </w:rPr>
              <w:t xml:space="preserve">PAC as % of Total </w:t>
            </w:r>
            <w:r w:rsidR="00E71BA0">
              <w:rPr>
                <w:b/>
                <w:bCs/>
                <w:color w:val="000000"/>
              </w:rPr>
              <w:t xml:space="preserve">Actual </w:t>
            </w:r>
            <w:r w:rsidR="00982B2E" w:rsidRPr="0062406E">
              <w:rPr>
                <w:b/>
                <w:bCs/>
                <w:color w:val="000000"/>
              </w:rPr>
              <w:t>Cost</w:t>
            </w:r>
          </w:p>
        </w:tc>
        <w:tc>
          <w:tcPr>
            <w:tcW w:w="1260" w:type="dxa"/>
            <w:vAlign w:val="center"/>
          </w:tcPr>
          <w:p w14:paraId="68CD5B9F" w14:textId="77777777" w:rsidR="00A705BF" w:rsidRPr="0062406E" w:rsidRDefault="00A705BF" w:rsidP="00A705BF">
            <w:pPr>
              <w:jc w:val="center"/>
              <w:rPr>
                <w:rFonts w:eastAsia="Times New Roman" w:cs="Times New Roman"/>
                <w:b/>
                <w:color w:val="000000"/>
              </w:rPr>
            </w:pPr>
            <w:r w:rsidRPr="0062406E">
              <w:rPr>
                <w:rFonts w:eastAsia="Times New Roman" w:cs="Times New Roman"/>
                <w:b/>
                <w:color w:val="000000"/>
              </w:rPr>
              <w:t xml:space="preserve">Total ECR </w:t>
            </w:r>
            <w:r w:rsidR="00E71BA0">
              <w:rPr>
                <w:rFonts w:eastAsia="Times New Roman" w:cs="Times New Roman"/>
                <w:b/>
                <w:color w:val="000000"/>
              </w:rPr>
              <w:t xml:space="preserve">Est. </w:t>
            </w:r>
            <w:r w:rsidRPr="0062406E">
              <w:rPr>
                <w:rFonts w:eastAsia="Times New Roman" w:cs="Times New Roman"/>
                <w:b/>
                <w:color w:val="000000"/>
              </w:rPr>
              <w:t>Cost (million)</w:t>
            </w:r>
          </w:p>
        </w:tc>
        <w:tc>
          <w:tcPr>
            <w:tcW w:w="1170" w:type="dxa"/>
            <w:vAlign w:val="center"/>
          </w:tcPr>
          <w:p w14:paraId="2940C37F" w14:textId="77777777" w:rsidR="00A705BF" w:rsidRPr="0062406E" w:rsidRDefault="00A705BF" w:rsidP="00A705BF">
            <w:pPr>
              <w:jc w:val="center"/>
              <w:rPr>
                <w:rFonts w:eastAsia="Times New Roman" w:cs="Times New Roman"/>
                <w:b/>
                <w:color w:val="000000"/>
              </w:rPr>
            </w:pPr>
            <w:r w:rsidRPr="0062406E">
              <w:rPr>
                <w:rFonts w:eastAsia="Times New Roman" w:cs="Times New Roman"/>
                <w:b/>
                <w:color w:val="000000"/>
              </w:rPr>
              <w:t xml:space="preserve">Total </w:t>
            </w:r>
            <w:r w:rsidR="00E71BA0">
              <w:rPr>
                <w:rFonts w:eastAsia="Times New Roman" w:cs="Times New Roman"/>
                <w:b/>
                <w:color w:val="000000"/>
              </w:rPr>
              <w:t xml:space="preserve">Est. </w:t>
            </w:r>
            <w:r w:rsidRPr="0062406E">
              <w:rPr>
                <w:rFonts w:eastAsia="Times New Roman" w:cs="Times New Roman"/>
                <w:b/>
                <w:color w:val="000000"/>
              </w:rPr>
              <w:t>Savings</w:t>
            </w:r>
          </w:p>
        </w:tc>
        <w:tc>
          <w:tcPr>
            <w:tcW w:w="1008" w:type="dxa"/>
            <w:vAlign w:val="center"/>
          </w:tcPr>
          <w:p w14:paraId="3498A5B8" w14:textId="77777777" w:rsidR="00A705BF" w:rsidRPr="0062406E" w:rsidRDefault="00A705BF" w:rsidP="00A705BF">
            <w:pPr>
              <w:jc w:val="center"/>
              <w:rPr>
                <w:b/>
                <w:bCs/>
                <w:color w:val="000000"/>
              </w:rPr>
            </w:pPr>
            <w:r w:rsidRPr="0062406E">
              <w:rPr>
                <w:b/>
                <w:bCs/>
                <w:color w:val="000000"/>
              </w:rPr>
              <w:t>Savings %</w:t>
            </w:r>
          </w:p>
        </w:tc>
      </w:tr>
      <w:tr w:rsidR="00A705BF" w:rsidRPr="0062406E" w14:paraId="631AD0B7" w14:textId="77777777" w:rsidTr="00A705BF">
        <w:tc>
          <w:tcPr>
            <w:tcW w:w="2358" w:type="dxa"/>
            <w:vAlign w:val="center"/>
          </w:tcPr>
          <w:p w14:paraId="12240D44" w14:textId="77777777" w:rsidR="00A705BF" w:rsidRPr="0062406E" w:rsidRDefault="00A705BF" w:rsidP="00A705BF">
            <w:pPr>
              <w:rPr>
                <w:color w:val="000000"/>
              </w:rPr>
            </w:pPr>
            <w:r w:rsidRPr="0062406E">
              <w:rPr>
                <w:color w:val="000000"/>
              </w:rPr>
              <w:t>AMI</w:t>
            </w:r>
          </w:p>
        </w:tc>
        <w:tc>
          <w:tcPr>
            <w:tcW w:w="1080" w:type="dxa"/>
            <w:vAlign w:val="center"/>
          </w:tcPr>
          <w:p w14:paraId="0C1DA460" w14:textId="77777777" w:rsidR="00A705BF" w:rsidRPr="0062406E" w:rsidRDefault="00A705BF" w:rsidP="00A705BF">
            <w:pPr>
              <w:jc w:val="center"/>
              <w:rPr>
                <w:color w:val="000000"/>
              </w:rPr>
            </w:pPr>
            <w:r w:rsidRPr="0062406E">
              <w:rPr>
                <w:color w:val="000000"/>
              </w:rPr>
              <w:t>720</w:t>
            </w:r>
          </w:p>
        </w:tc>
        <w:tc>
          <w:tcPr>
            <w:tcW w:w="1350" w:type="dxa"/>
            <w:vAlign w:val="center"/>
          </w:tcPr>
          <w:p w14:paraId="6837B2F7" w14:textId="77777777" w:rsidR="00A705BF" w:rsidRPr="0062406E" w:rsidRDefault="00A705BF" w:rsidP="00A705BF">
            <w:pPr>
              <w:jc w:val="center"/>
            </w:pPr>
            <w:r w:rsidRPr="0062406E">
              <w:t>$23.3M</w:t>
            </w:r>
          </w:p>
        </w:tc>
        <w:tc>
          <w:tcPr>
            <w:tcW w:w="1350" w:type="dxa"/>
            <w:vAlign w:val="center"/>
          </w:tcPr>
          <w:p w14:paraId="3BD9A17F" w14:textId="77777777" w:rsidR="00A705BF" w:rsidRPr="0062406E" w:rsidRDefault="00A705BF" w:rsidP="00A705BF">
            <w:pPr>
              <w:jc w:val="center"/>
              <w:rPr>
                <w:color w:val="000000"/>
              </w:rPr>
            </w:pPr>
            <w:r w:rsidRPr="0062406E">
              <w:rPr>
                <w:color w:val="000000"/>
              </w:rPr>
              <w:t>23.2%</w:t>
            </w:r>
          </w:p>
        </w:tc>
        <w:tc>
          <w:tcPr>
            <w:tcW w:w="1260" w:type="dxa"/>
            <w:vAlign w:val="center"/>
          </w:tcPr>
          <w:p w14:paraId="271550F7"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$18.5M </w:t>
            </w:r>
          </w:p>
        </w:tc>
        <w:tc>
          <w:tcPr>
            <w:tcW w:w="1170" w:type="dxa"/>
            <w:vAlign w:val="center"/>
          </w:tcPr>
          <w:p w14:paraId="77CFE6AC"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$4.8M </w:t>
            </w:r>
          </w:p>
        </w:tc>
        <w:tc>
          <w:tcPr>
            <w:tcW w:w="1008" w:type="dxa"/>
            <w:vAlign w:val="center"/>
          </w:tcPr>
          <w:p w14:paraId="7DD1579B" w14:textId="77777777" w:rsidR="00A705BF" w:rsidRPr="0062406E" w:rsidRDefault="00A705BF" w:rsidP="00A705BF">
            <w:pPr>
              <w:jc w:val="center"/>
              <w:rPr>
                <w:color w:val="000000"/>
              </w:rPr>
            </w:pPr>
            <w:r w:rsidRPr="0062406E">
              <w:rPr>
                <w:color w:val="000000"/>
              </w:rPr>
              <w:t>20.6%</w:t>
            </w:r>
          </w:p>
        </w:tc>
      </w:tr>
      <w:tr w:rsidR="00A705BF" w:rsidRPr="0062406E" w14:paraId="3172CDC0" w14:textId="77777777" w:rsidTr="00A705BF">
        <w:tc>
          <w:tcPr>
            <w:tcW w:w="2358" w:type="dxa"/>
            <w:vAlign w:val="center"/>
          </w:tcPr>
          <w:p w14:paraId="16C5DC9E" w14:textId="77777777" w:rsidR="00A705BF" w:rsidRPr="0062406E" w:rsidRDefault="00A705BF" w:rsidP="00A705BF">
            <w:pPr>
              <w:rPr>
                <w:color w:val="000000"/>
              </w:rPr>
            </w:pPr>
            <w:r w:rsidRPr="0062406E">
              <w:rPr>
                <w:color w:val="000000"/>
              </w:rPr>
              <w:t>Pneumonia</w:t>
            </w:r>
          </w:p>
        </w:tc>
        <w:tc>
          <w:tcPr>
            <w:tcW w:w="1080" w:type="dxa"/>
            <w:vAlign w:val="center"/>
          </w:tcPr>
          <w:p w14:paraId="3FAD4E99" w14:textId="77777777" w:rsidR="00A705BF" w:rsidRPr="0062406E" w:rsidRDefault="00A705BF" w:rsidP="00A705BF">
            <w:pPr>
              <w:jc w:val="center"/>
              <w:rPr>
                <w:color w:val="000000"/>
              </w:rPr>
            </w:pPr>
            <w:r w:rsidRPr="0062406E">
              <w:rPr>
                <w:color w:val="000000"/>
              </w:rPr>
              <w:t>569</w:t>
            </w:r>
          </w:p>
        </w:tc>
        <w:tc>
          <w:tcPr>
            <w:tcW w:w="1350" w:type="dxa"/>
            <w:vAlign w:val="center"/>
          </w:tcPr>
          <w:p w14:paraId="76AD1C12" w14:textId="77777777" w:rsidR="00A705BF" w:rsidRPr="0062406E" w:rsidRDefault="00A705BF" w:rsidP="00A705BF">
            <w:pPr>
              <w:jc w:val="center"/>
            </w:pPr>
            <w:r w:rsidRPr="0062406E">
              <w:t>$7.3M</w:t>
            </w:r>
          </w:p>
        </w:tc>
        <w:tc>
          <w:tcPr>
            <w:tcW w:w="1350" w:type="dxa"/>
            <w:vAlign w:val="center"/>
          </w:tcPr>
          <w:p w14:paraId="6A1ACC3B" w14:textId="77777777" w:rsidR="00A705BF" w:rsidRPr="0062406E" w:rsidRDefault="00A705BF" w:rsidP="00A705BF">
            <w:pPr>
              <w:jc w:val="center"/>
              <w:rPr>
                <w:color w:val="000000"/>
              </w:rPr>
            </w:pPr>
            <w:r w:rsidRPr="0062406E">
              <w:rPr>
                <w:color w:val="000000"/>
              </w:rPr>
              <w:t>35.9%</w:t>
            </w:r>
          </w:p>
        </w:tc>
        <w:tc>
          <w:tcPr>
            <w:tcW w:w="1260" w:type="dxa"/>
            <w:vAlign w:val="center"/>
          </w:tcPr>
          <w:p w14:paraId="2119F0A4"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$5.1M </w:t>
            </w:r>
          </w:p>
        </w:tc>
        <w:tc>
          <w:tcPr>
            <w:tcW w:w="1170" w:type="dxa"/>
            <w:vAlign w:val="center"/>
          </w:tcPr>
          <w:p w14:paraId="7B318B0E"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$2.2M </w:t>
            </w:r>
          </w:p>
        </w:tc>
        <w:tc>
          <w:tcPr>
            <w:tcW w:w="1008" w:type="dxa"/>
            <w:vAlign w:val="center"/>
          </w:tcPr>
          <w:p w14:paraId="36B0A33B" w14:textId="77777777" w:rsidR="00A705BF" w:rsidRPr="0062406E" w:rsidRDefault="00A705BF" w:rsidP="00A705BF">
            <w:pPr>
              <w:jc w:val="center"/>
              <w:rPr>
                <w:color w:val="000000"/>
              </w:rPr>
            </w:pPr>
            <w:r w:rsidRPr="0062406E">
              <w:rPr>
                <w:color w:val="000000"/>
              </w:rPr>
              <w:t>30.2%</w:t>
            </w:r>
          </w:p>
        </w:tc>
      </w:tr>
      <w:tr w:rsidR="00A705BF" w:rsidRPr="0062406E" w14:paraId="052A2405" w14:textId="77777777" w:rsidTr="00A705BF">
        <w:tc>
          <w:tcPr>
            <w:tcW w:w="2358" w:type="dxa"/>
            <w:vAlign w:val="center"/>
          </w:tcPr>
          <w:p w14:paraId="1C4C04E3" w14:textId="77777777" w:rsidR="00A705BF" w:rsidRPr="0062406E" w:rsidRDefault="00A705BF" w:rsidP="00A705BF">
            <w:pPr>
              <w:rPr>
                <w:color w:val="000000"/>
              </w:rPr>
            </w:pPr>
            <w:r w:rsidRPr="0062406E">
              <w:rPr>
                <w:color w:val="000000"/>
              </w:rPr>
              <w:t>CABG</w:t>
            </w:r>
          </w:p>
        </w:tc>
        <w:tc>
          <w:tcPr>
            <w:tcW w:w="1080" w:type="dxa"/>
            <w:vAlign w:val="center"/>
          </w:tcPr>
          <w:p w14:paraId="2B642C8B" w14:textId="77777777" w:rsidR="00A705BF" w:rsidRPr="0062406E" w:rsidRDefault="00A705BF" w:rsidP="00A705BF">
            <w:pPr>
              <w:jc w:val="center"/>
              <w:rPr>
                <w:color w:val="000000"/>
              </w:rPr>
            </w:pPr>
            <w:r w:rsidRPr="0062406E">
              <w:rPr>
                <w:color w:val="000000"/>
              </w:rPr>
              <w:t>111</w:t>
            </w:r>
          </w:p>
        </w:tc>
        <w:tc>
          <w:tcPr>
            <w:tcW w:w="1350" w:type="dxa"/>
            <w:vAlign w:val="center"/>
          </w:tcPr>
          <w:p w14:paraId="3D0D8D30" w14:textId="77777777" w:rsidR="00A705BF" w:rsidRPr="0062406E" w:rsidRDefault="00A705BF" w:rsidP="00A705BF">
            <w:pPr>
              <w:jc w:val="center"/>
            </w:pPr>
            <w:r w:rsidRPr="0062406E">
              <w:t>$9.0M</w:t>
            </w:r>
          </w:p>
        </w:tc>
        <w:tc>
          <w:tcPr>
            <w:tcW w:w="1350" w:type="dxa"/>
            <w:vAlign w:val="center"/>
          </w:tcPr>
          <w:p w14:paraId="4BEE4939" w14:textId="77777777" w:rsidR="00A705BF" w:rsidRPr="0062406E" w:rsidRDefault="00A705BF" w:rsidP="00A705BF">
            <w:pPr>
              <w:jc w:val="center"/>
              <w:rPr>
                <w:color w:val="000000"/>
              </w:rPr>
            </w:pPr>
            <w:r w:rsidRPr="0062406E">
              <w:rPr>
                <w:color w:val="000000"/>
              </w:rPr>
              <w:t>30.7%</w:t>
            </w:r>
          </w:p>
        </w:tc>
        <w:tc>
          <w:tcPr>
            <w:tcW w:w="1260" w:type="dxa"/>
            <w:vAlign w:val="center"/>
          </w:tcPr>
          <w:p w14:paraId="0F7BE0EF"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$5.0M </w:t>
            </w:r>
          </w:p>
        </w:tc>
        <w:tc>
          <w:tcPr>
            <w:tcW w:w="1170" w:type="dxa"/>
            <w:vAlign w:val="center"/>
          </w:tcPr>
          <w:p w14:paraId="1E70E068"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$4.0M </w:t>
            </w:r>
          </w:p>
        </w:tc>
        <w:tc>
          <w:tcPr>
            <w:tcW w:w="1008" w:type="dxa"/>
            <w:vAlign w:val="center"/>
          </w:tcPr>
          <w:p w14:paraId="6B5DB65E" w14:textId="77777777" w:rsidR="00A705BF" w:rsidRPr="0062406E" w:rsidRDefault="00A705BF" w:rsidP="00A705BF">
            <w:pPr>
              <w:jc w:val="center"/>
              <w:rPr>
                <w:color w:val="000000"/>
              </w:rPr>
            </w:pPr>
            <w:r w:rsidRPr="0062406E">
              <w:rPr>
                <w:color w:val="000000"/>
              </w:rPr>
              <w:t>44.2%</w:t>
            </w:r>
          </w:p>
        </w:tc>
      </w:tr>
      <w:tr w:rsidR="00A705BF" w:rsidRPr="0062406E" w14:paraId="75A35542" w14:textId="77777777" w:rsidTr="00A705BF">
        <w:tc>
          <w:tcPr>
            <w:tcW w:w="2358" w:type="dxa"/>
            <w:vAlign w:val="center"/>
          </w:tcPr>
          <w:p w14:paraId="3CB48EA3" w14:textId="77777777" w:rsidR="00A705BF" w:rsidRPr="0062406E" w:rsidRDefault="00A705BF" w:rsidP="00A705BF">
            <w:pPr>
              <w:rPr>
                <w:color w:val="000000"/>
              </w:rPr>
            </w:pPr>
            <w:r w:rsidRPr="0062406E">
              <w:rPr>
                <w:color w:val="000000"/>
              </w:rPr>
              <w:t>Bariatric Surgery</w:t>
            </w:r>
          </w:p>
        </w:tc>
        <w:tc>
          <w:tcPr>
            <w:tcW w:w="1080" w:type="dxa"/>
            <w:vAlign w:val="center"/>
          </w:tcPr>
          <w:p w14:paraId="75D0CD3E" w14:textId="77777777" w:rsidR="00A705BF" w:rsidRPr="0062406E" w:rsidRDefault="00A705BF" w:rsidP="00A705BF">
            <w:pPr>
              <w:jc w:val="center"/>
              <w:rPr>
                <w:color w:val="000000"/>
              </w:rPr>
            </w:pPr>
            <w:r w:rsidRPr="0062406E">
              <w:rPr>
                <w:color w:val="000000"/>
              </w:rPr>
              <w:t>491</w:t>
            </w:r>
          </w:p>
        </w:tc>
        <w:tc>
          <w:tcPr>
            <w:tcW w:w="1350" w:type="dxa"/>
            <w:vAlign w:val="center"/>
          </w:tcPr>
          <w:p w14:paraId="665EAF0B" w14:textId="77777777" w:rsidR="00A705BF" w:rsidRPr="0062406E" w:rsidRDefault="00A705BF" w:rsidP="00A705BF">
            <w:pPr>
              <w:jc w:val="center"/>
            </w:pPr>
            <w:r w:rsidRPr="0062406E">
              <w:t>$10.4M</w:t>
            </w:r>
          </w:p>
        </w:tc>
        <w:tc>
          <w:tcPr>
            <w:tcW w:w="1350" w:type="dxa"/>
            <w:vAlign w:val="center"/>
          </w:tcPr>
          <w:p w14:paraId="596E2C03" w14:textId="77777777" w:rsidR="00A705BF" w:rsidRPr="0062406E" w:rsidRDefault="00A705BF" w:rsidP="00A705BF">
            <w:pPr>
              <w:jc w:val="center"/>
              <w:rPr>
                <w:color w:val="000000"/>
              </w:rPr>
            </w:pPr>
            <w:r w:rsidRPr="0062406E">
              <w:rPr>
                <w:color w:val="000000"/>
              </w:rPr>
              <w:t>13.6%</w:t>
            </w:r>
          </w:p>
        </w:tc>
        <w:tc>
          <w:tcPr>
            <w:tcW w:w="1260" w:type="dxa"/>
            <w:vAlign w:val="center"/>
          </w:tcPr>
          <w:p w14:paraId="729B41F5"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$9.3M </w:t>
            </w:r>
          </w:p>
        </w:tc>
        <w:tc>
          <w:tcPr>
            <w:tcW w:w="1170" w:type="dxa"/>
            <w:vAlign w:val="center"/>
          </w:tcPr>
          <w:p w14:paraId="493E5029"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$1.1M </w:t>
            </w:r>
          </w:p>
        </w:tc>
        <w:tc>
          <w:tcPr>
            <w:tcW w:w="1008" w:type="dxa"/>
            <w:vAlign w:val="center"/>
          </w:tcPr>
          <w:p w14:paraId="76960DFB" w14:textId="77777777" w:rsidR="00A705BF" w:rsidRPr="0062406E" w:rsidRDefault="00A705BF" w:rsidP="00A705BF">
            <w:pPr>
              <w:jc w:val="center"/>
              <w:rPr>
                <w:color w:val="000000"/>
              </w:rPr>
            </w:pPr>
            <w:r w:rsidRPr="0062406E">
              <w:rPr>
                <w:color w:val="000000"/>
              </w:rPr>
              <w:t>10.3%</w:t>
            </w:r>
          </w:p>
        </w:tc>
      </w:tr>
      <w:tr w:rsidR="00A705BF" w:rsidRPr="0062406E" w14:paraId="4DB5EA06" w14:textId="77777777" w:rsidTr="00A705BF">
        <w:tc>
          <w:tcPr>
            <w:tcW w:w="2358" w:type="dxa"/>
            <w:vAlign w:val="center"/>
          </w:tcPr>
          <w:p w14:paraId="160AC794" w14:textId="77777777" w:rsidR="00A705BF" w:rsidRPr="0062406E" w:rsidRDefault="00A705BF" w:rsidP="00A705BF">
            <w:pPr>
              <w:rPr>
                <w:color w:val="000000"/>
              </w:rPr>
            </w:pPr>
            <w:r w:rsidRPr="0062406E">
              <w:rPr>
                <w:color w:val="000000"/>
              </w:rPr>
              <w:t>Gallbladder Surgery</w:t>
            </w:r>
          </w:p>
        </w:tc>
        <w:tc>
          <w:tcPr>
            <w:tcW w:w="1080" w:type="dxa"/>
            <w:vAlign w:val="center"/>
          </w:tcPr>
          <w:p w14:paraId="36974352" w14:textId="77777777" w:rsidR="00A705BF" w:rsidRPr="0062406E" w:rsidRDefault="00A705BF" w:rsidP="00A705BF">
            <w:pPr>
              <w:jc w:val="center"/>
              <w:rPr>
                <w:color w:val="000000"/>
              </w:rPr>
            </w:pPr>
            <w:r w:rsidRPr="0062406E">
              <w:rPr>
                <w:color w:val="000000"/>
              </w:rPr>
              <w:t>797</w:t>
            </w:r>
          </w:p>
        </w:tc>
        <w:tc>
          <w:tcPr>
            <w:tcW w:w="1350" w:type="dxa"/>
            <w:vAlign w:val="center"/>
          </w:tcPr>
          <w:p w14:paraId="63FE705C" w14:textId="77777777" w:rsidR="00A705BF" w:rsidRPr="0062406E" w:rsidRDefault="00A705BF" w:rsidP="00A705BF">
            <w:pPr>
              <w:jc w:val="center"/>
            </w:pPr>
            <w:r w:rsidRPr="0062406E">
              <w:t>$9.4M</w:t>
            </w:r>
          </w:p>
        </w:tc>
        <w:tc>
          <w:tcPr>
            <w:tcW w:w="1350" w:type="dxa"/>
            <w:vAlign w:val="center"/>
          </w:tcPr>
          <w:p w14:paraId="332975E1" w14:textId="77777777" w:rsidR="00A705BF" w:rsidRPr="0062406E" w:rsidRDefault="00A705BF" w:rsidP="00A705BF">
            <w:pPr>
              <w:jc w:val="center"/>
              <w:rPr>
                <w:color w:val="000000"/>
              </w:rPr>
            </w:pPr>
            <w:r w:rsidRPr="0062406E">
              <w:rPr>
                <w:color w:val="000000"/>
              </w:rPr>
              <w:t>24.9%</w:t>
            </w:r>
          </w:p>
        </w:tc>
        <w:tc>
          <w:tcPr>
            <w:tcW w:w="1260" w:type="dxa"/>
            <w:vAlign w:val="center"/>
          </w:tcPr>
          <w:p w14:paraId="589C0743"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$6.0M </w:t>
            </w:r>
          </w:p>
        </w:tc>
        <w:tc>
          <w:tcPr>
            <w:tcW w:w="1170" w:type="dxa"/>
            <w:vAlign w:val="center"/>
          </w:tcPr>
          <w:p w14:paraId="74CF7CF6"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$3.3M </w:t>
            </w:r>
          </w:p>
        </w:tc>
        <w:tc>
          <w:tcPr>
            <w:tcW w:w="1008" w:type="dxa"/>
            <w:vAlign w:val="center"/>
          </w:tcPr>
          <w:p w14:paraId="56F9F196" w14:textId="77777777" w:rsidR="00A705BF" w:rsidRPr="0062406E" w:rsidRDefault="00A705BF" w:rsidP="00A705BF">
            <w:pPr>
              <w:jc w:val="center"/>
              <w:rPr>
                <w:color w:val="000000"/>
              </w:rPr>
            </w:pPr>
            <w:r w:rsidRPr="0062406E">
              <w:rPr>
                <w:color w:val="000000"/>
              </w:rPr>
              <w:t>35.4%</w:t>
            </w:r>
          </w:p>
        </w:tc>
      </w:tr>
      <w:tr w:rsidR="00A705BF" w:rsidRPr="0062406E" w14:paraId="6F35334C" w14:textId="77777777" w:rsidTr="00A705BF">
        <w:tc>
          <w:tcPr>
            <w:tcW w:w="2358" w:type="dxa"/>
            <w:vAlign w:val="center"/>
          </w:tcPr>
          <w:p w14:paraId="56DFBC8C" w14:textId="77777777" w:rsidR="00A705BF" w:rsidRPr="0062406E" w:rsidRDefault="00A705BF" w:rsidP="00A705BF">
            <w:pPr>
              <w:rPr>
                <w:color w:val="000000"/>
              </w:rPr>
            </w:pPr>
            <w:r w:rsidRPr="0062406E">
              <w:rPr>
                <w:color w:val="000000"/>
              </w:rPr>
              <w:t>Pregnancy and Delivery</w:t>
            </w:r>
          </w:p>
        </w:tc>
        <w:tc>
          <w:tcPr>
            <w:tcW w:w="1080" w:type="dxa"/>
            <w:vAlign w:val="center"/>
          </w:tcPr>
          <w:p w14:paraId="605134ED" w14:textId="77777777" w:rsidR="00A705BF" w:rsidRPr="0062406E" w:rsidRDefault="00A705BF" w:rsidP="00A705BF">
            <w:pPr>
              <w:jc w:val="center"/>
              <w:rPr>
                <w:color w:val="000000"/>
              </w:rPr>
            </w:pPr>
            <w:r w:rsidRPr="0062406E">
              <w:rPr>
                <w:color w:val="000000"/>
              </w:rPr>
              <w:t>2,815</w:t>
            </w:r>
          </w:p>
        </w:tc>
        <w:tc>
          <w:tcPr>
            <w:tcW w:w="1350" w:type="dxa"/>
            <w:vAlign w:val="center"/>
          </w:tcPr>
          <w:p w14:paraId="266861C8" w14:textId="77777777" w:rsidR="00A705BF" w:rsidRPr="0062406E" w:rsidRDefault="00A705BF" w:rsidP="00A705BF">
            <w:pPr>
              <w:jc w:val="center"/>
            </w:pPr>
            <w:r w:rsidRPr="0062406E">
              <w:t>$33.5M</w:t>
            </w:r>
          </w:p>
        </w:tc>
        <w:tc>
          <w:tcPr>
            <w:tcW w:w="1350" w:type="dxa"/>
            <w:vAlign w:val="center"/>
          </w:tcPr>
          <w:p w14:paraId="0D7C0EE6" w14:textId="77777777" w:rsidR="00A705BF" w:rsidRPr="0062406E" w:rsidRDefault="00A705BF" w:rsidP="00A705BF">
            <w:pPr>
              <w:jc w:val="center"/>
              <w:rPr>
                <w:color w:val="000000"/>
              </w:rPr>
            </w:pPr>
            <w:r w:rsidRPr="0062406E">
              <w:rPr>
                <w:color w:val="000000"/>
              </w:rPr>
              <w:t>19.5%</w:t>
            </w:r>
          </w:p>
        </w:tc>
        <w:tc>
          <w:tcPr>
            <w:tcW w:w="1260" w:type="dxa"/>
            <w:vAlign w:val="center"/>
          </w:tcPr>
          <w:p w14:paraId="6B544DD7"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$24.1M </w:t>
            </w:r>
          </w:p>
        </w:tc>
        <w:tc>
          <w:tcPr>
            <w:tcW w:w="1170" w:type="dxa"/>
            <w:vAlign w:val="center"/>
          </w:tcPr>
          <w:p w14:paraId="1C3B2B77"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$9.4M </w:t>
            </w:r>
          </w:p>
        </w:tc>
        <w:tc>
          <w:tcPr>
            <w:tcW w:w="1008" w:type="dxa"/>
            <w:vAlign w:val="center"/>
          </w:tcPr>
          <w:p w14:paraId="24FF3F89" w14:textId="77777777" w:rsidR="00A705BF" w:rsidRPr="0062406E" w:rsidRDefault="00A705BF" w:rsidP="00A705BF">
            <w:pPr>
              <w:jc w:val="center"/>
              <w:rPr>
                <w:color w:val="000000"/>
              </w:rPr>
            </w:pPr>
            <w:r w:rsidRPr="0062406E">
              <w:rPr>
                <w:color w:val="000000"/>
              </w:rPr>
              <w:t>28.1%</w:t>
            </w:r>
          </w:p>
        </w:tc>
      </w:tr>
      <w:tr w:rsidR="00A705BF" w:rsidRPr="0062406E" w14:paraId="4C5CEBD3" w14:textId="77777777" w:rsidTr="00A705BF">
        <w:tc>
          <w:tcPr>
            <w:tcW w:w="2358" w:type="dxa"/>
            <w:vAlign w:val="center"/>
          </w:tcPr>
          <w:p w14:paraId="66FDE437" w14:textId="77777777" w:rsidR="00A705BF" w:rsidRPr="0062406E" w:rsidRDefault="00A705BF" w:rsidP="00A705BF">
            <w:pPr>
              <w:rPr>
                <w:color w:val="000000"/>
              </w:rPr>
            </w:pPr>
            <w:r w:rsidRPr="0062406E">
              <w:rPr>
                <w:color w:val="000000"/>
              </w:rPr>
              <w:t>Colonoscopy</w:t>
            </w:r>
          </w:p>
        </w:tc>
        <w:tc>
          <w:tcPr>
            <w:tcW w:w="1080" w:type="dxa"/>
            <w:vAlign w:val="center"/>
          </w:tcPr>
          <w:p w14:paraId="35290AB1" w14:textId="77777777" w:rsidR="00A705BF" w:rsidRPr="0062406E" w:rsidRDefault="00A705BF" w:rsidP="00A705BF">
            <w:pPr>
              <w:jc w:val="center"/>
              <w:rPr>
                <w:color w:val="000000"/>
              </w:rPr>
            </w:pPr>
            <w:r w:rsidRPr="0062406E">
              <w:rPr>
                <w:color w:val="000000"/>
              </w:rPr>
              <w:t>45,921</w:t>
            </w:r>
          </w:p>
        </w:tc>
        <w:tc>
          <w:tcPr>
            <w:tcW w:w="1350" w:type="dxa"/>
            <w:vAlign w:val="center"/>
          </w:tcPr>
          <w:p w14:paraId="028BF3AF" w14:textId="77777777" w:rsidR="00A705BF" w:rsidRPr="0062406E" w:rsidRDefault="00A705BF" w:rsidP="00A705BF">
            <w:pPr>
              <w:jc w:val="center"/>
            </w:pPr>
            <w:r w:rsidRPr="0062406E">
              <w:t>$108.1M</w:t>
            </w:r>
          </w:p>
        </w:tc>
        <w:tc>
          <w:tcPr>
            <w:tcW w:w="1350" w:type="dxa"/>
            <w:vAlign w:val="center"/>
          </w:tcPr>
          <w:p w14:paraId="4E1029B6" w14:textId="77777777" w:rsidR="00A705BF" w:rsidRPr="0062406E" w:rsidRDefault="00A705BF" w:rsidP="00A705BF">
            <w:pPr>
              <w:jc w:val="center"/>
              <w:rPr>
                <w:color w:val="000000"/>
              </w:rPr>
            </w:pPr>
            <w:r w:rsidRPr="0062406E">
              <w:rPr>
                <w:color w:val="000000"/>
              </w:rPr>
              <w:t>12.7%</w:t>
            </w:r>
          </w:p>
        </w:tc>
        <w:tc>
          <w:tcPr>
            <w:tcW w:w="1260" w:type="dxa"/>
            <w:vAlign w:val="center"/>
          </w:tcPr>
          <w:p w14:paraId="5D1CFA3E"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$107.3M </w:t>
            </w:r>
          </w:p>
        </w:tc>
        <w:tc>
          <w:tcPr>
            <w:tcW w:w="1170" w:type="dxa"/>
            <w:vAlign w:val="center"/>
          </w:tcPr>
          <w:p w14:paraId="3BB9062C" w14:textId="77777777" w:rsidR="00A705BF" w:rsidRPr="0062406E" w:rsidRDefault="00A705BF" w:rsidP="00A705BF">
            <w:pPr>
              <w:jc w:val="center"/>
              <w:rPr>
                <w:rFonts w:eastAsia="Times New Roman" w:cs="Times New Roman"/>
                <w:color w:val="000000"/>
              </w:rPr>
            </w:pPr>
            <w:r w:rsidRPr="0062406E">
              <w:rPr>
                <w:rFonts w:eastAsia="Times New Roman" w:cs="Times New Roman"/>
                <w:color w:val="000000"/>
              </w:rPr>
              <w:t xml:space="preserve">$0.9M </w:t>
            </w:r>
          </w:p>
        </w:tc>
        <w:tc>
          <w:tcPr>
            <w:tcW w:w="1008" w:type="dxa"/>
            <w:vAlign w:val="center"/>
          </w:tcPr>
          <w:p w14:paraId="442EA42B" w14:textId="77777777" w:rsidR="00A705BF" w:rsidRPr="0062406E" w:rsidRDefault="00A705BF" w:rsidP="00A705BF">
            <w:pPr>
              <w:jc w:val="center"/>
              <w:rPr>
                <w:color w:val="000000"/>
              </w:rPr>
            </w:pPr>
            <w:r w:rsidRPr="0062406E">
              <w:rPr>
                <w:color w:val="000000"/>
              </w:rPr>
              <w:t>0.8%</w:t>
            </w:r>
          </w:p>
        </w:tc>
      </w:tr>
      <w:tr w:rsidR="00A705BF" w:rsidRPr="0062406E" w14:paraId="0585D1CD" w14:textId="77777777" w:rsidTr="007D31AA">
        <w:tc>
          <w:tcPr>
            <w:tcW w:w="2358" w:type="dxa"/>
            <w:shd w:val="clear" w:color="auto" w:fill="D9D9D9" w:themeFill="background1" w:themeFillShade="D9"/>
            <w:vAlign w:val="center"/>
          </w:tcPr>
          <w:p w14:paraId="23CFCE34" w14:textId="77777777" w:rsidR="00A705BF" w:rsidRPr="0062406E" w:rsidRDefault="00A705BF" w:rsidP="00A705BF">
            <w:pPr>
              <w:rPr>
                <w:color w:val="000000"/>
              </w:rPr>
            </w:pPr>
            <w:r w:rsidRPr="0062406E">
              <w:rPr>
                <w:color w:val="000000"/>
              </w:rPr>
              <w:t>Total</w:t>
            </w:r>
          </w:p>
        </w:tc>
        <w:tc>
          <w:tcPr>
            <w:tcW w:w="1080" w:type="dxa"/>
            <w:shd w:val="clear" w:color="auto" w:fill="D9D9D9" w:themeFill="background1" w:themeFillShade="D9"/>
            <w:vAlign w:val="center"/>
          </w:tcPr>
          <w:p w14:paraId="76265E7B" w14:textId="77777777" w:rsidR="00A705BF" w:rsidRPr="0062406E" w:rsidRDefault="00A705BF" w:rsidP="00A705BF">
            <w:pPr>
              <w:jc w:val="center"/>
              <w:rPr>
                <w:color w:val="000000"/>
              </w:rPr>
            </w:pPr>
            <w:r w:rsidRPr="0062406E">
              <w:rPr>
                <w:color w:val="000000"/>
              </w:rPr>
              <w:t>51,424</w:t>
            </w:r>
          </w:p>
        </w:tc>
        <w:tc>
          <w:tcPr>
            <w:tcW w:w="1350" w:type="dxa"/>
            <w:shd w:val="clear" w:color="auto" w:fill="D9D9D9" w:themeFill="background1" w:themeFillShade="D9"/>
            <w:vAlign w:val="center"/>
          </w:tcPr>
          <w:p w14:paraId="39037A5D" w14:textId="77777777" w:rsidR="00A705BF" w:rsidRPr="0062406E" w:rsidRDefault="00A705BF" w:rsidP="00A705BF">
            <w:pPr>
              <w:jc w:val="center"/>
            </w:pPr>
            <w:r w:rsidRPr="0062406E">
              <w:t>$201.0M</w:t>
            </w:r>
          </w:p>
        </w:tc>
        <w:tc>
          <w:tcPr>
            <w:tcW w:w="1350" w:type="dxa"/>
            <w:shd w:val="clear" w:color="auto" w:fill="D9D9D9" w:themeFill="background1" w:themeFillShade="D9"/>
            <w:vAlign w:val="center"/>
          </w:tcPr>
          <w:p w14:paraId="557A07FE" w14:textId="77777777" w:rsidR="00A705BF" w:rsidRPr="0062406E" w:rsidRDefault="00A705BF" w:rsidP="00A705BF">
            <w:pPr>
              <w:jc w:val="center"/>
              <w:rPr>
                <w:color w:val="000000"/>
              </w:rPr>
            </w:pPr>
            <w:r w:rsidRPr="0062406E">
              <w:rPr>
                <w:color w:val="000000"/>
              </w:rPr>
              <w:t>17.3%</w:t>
            </w:r>
          </w:p>
        </w:tc>
        <w:tc>
          <w:tcPr>
            <w:tcW w:w="1260" w:type="dxa"/>
            <w:shd w:val="clear" w:color="auto" w:fill="D9D9D9" w:themeFill="background1" w:themeFillShade="D9"/>
            <w:vAlign w:val="center"/>
          </w:tcPr>
          <w:p w14:paraId="45917CAE" w14:textId="77777777" w:rsidR="00A705BF" w:rsidRPr="0062406E" w:rsidRDefault="00A705BF" w:rsidP="00A705BF">
            <w:pPr>
              <w:jc w:val="center"/>
              <w:rPr>
                <w:color w:val="000000"/>
              </w:rPr>
            </w:pPr>
            <w:r w:rsidRPr="0062406E">
              <w:rPr>
                <w:color w:val="000000"/>
              </w:rPr>
              <w:t xml:space="preserve">$175.4M </w:t>
            </w:r>
          </w:p>
        </w:tc>
        <w:tc>
          <w:tcPr>
            <w:tcW w:w="1170" w:type="dxa"/>
            <w:shd w:val="clear" w:color="auto" w:fill="D9D9D9" w:themeFill="background1" w:themeFillShade="D9"/>
            <w:vAlign w:val="center"/>
          </w:tcPr>
          <w:p w14:paraId="7968FE24" w14:textId="77777777" w:rsidR="00A705BF" w:rsidRPr="0062406E" w:rsidRDefault="00A705BF" w:rsidP="00A705BF">
            <w:pPr>
              <w:jc w:val="center"/>
              <w:rPr>
                <w:color w:val="000000"/>
              </w:rPr>
            </w:pPr>
            <w:r w:rsidRPr="0062406E">
              <w:rPr>
                <w:color w:val="000000"/>
              </w:rPr>
              <w:t xml:space="preserve">$25.7M </w:t>
            </w:r>
          </w:p>
        </w:tc>
        <w:tc>
          <w:tcPr>
            <w:tcW w:w="1008" w:type="dxa"/>
            <w:shd w:val="clear" w:color="auto" w:fill="D9D9D9" w:themeFill="background1" w:themeFillShade="D9"/>
            <w:vAlign w:val="center"/>
          </w:tcPr>
          <w:p w14:paraId="4BEAB09A" w14:textId="77777777" w:rsidR="00A705BF" w:rsidRPr="0062406E" w:rsidRDefault="00A705BF" w:rsidP="00A705BF">
            <w:pPr>
              <w:jc w:val="center"/>
              <w:rPr>
                <w:color w:val="000000"/>
              </w:rPr>
            </w:pPr>
            <w:r w:rsidRPr="0062406E">
              <w:rPr>
                <w:color w:val="000000"/>
              </w:rPr>
              <w:t>12.8%</w:t>
            </w:r>
          </w:p>
        </w:tc>
      </w:tr>
      <w:tr w:rsidR="00A705BF" w:rsidRPr="007D31AA" w14:paraId="61355275" w14:textId="77777777" w:rsidTr="00A705BF">
        <w:tc>
          <w:tcPr>
            <w:tcW w:w="2358" w:type="dxa"/>
            <w:vAlign w:val="center"/>
          </w:tcPr>
          <w:p w14:paraId="79CE4E61" w14:textId="77777777" w:rsidR="00A705BF" w:rsidRPr="007D31AA" w:rsidRDefault="00A705BF" w:rsidP="00A705BF">
            <w:pPr>
              <w:rPr>
                <w:i/>
                <w:color w:val="000000"/>
              </w:rPr>
            </w:pPr>
            <w:r w:rsidRPr="007D31AA">
              <w:rPr>
                <w:i/>
                <w:color w:val="000000"/>
              </w:rPr>
              <w:t>Total without colonoscopy</w:t>
            </w:r>
          </w:p>
        </w:tc>
        <w:tc>
          <w:tcPr>
            <w:tcW w:w="1080" w:type="dxa"/>
            <w:vAlign w:val="center"/>
          </w:tcPr>
          <w:p w14:paraId="7AA1E62E" w14:textId="77777777" w:rsidR="00A705BF" w:rsidRPr="007D31AA" w:rsidRDefault="00A705BF" w:rsidP="00A705BF">
            <w:pPr>
              <w:jc w:val="center"/>
              <w:rPr>
                <w:i/>
                <w:color w:val="000000"/>
              </w:rPr>
            </w:pPr>
            <w:r w:rsidRPr="007D31AA">
              <w:rPr>
                <w:i/>
                <w:color w:val="000000"/>
              </w:rPr>
              <w:t>5,503</w:t>
            </w:r>
          </w:p>
        </w:tc>
        <w:tc>
          <w:tcPr>
            <w:tcW w:w="1350" w:type="dxa"/>
            <w:vAlign w:val="center"/>
          </w:tcPr>
          <w:p w14:paraId="30087829" w14:textId="77777777" w:rsidR="00A705BF" w:rsidRPr="007D31AA" w:rsidRDefault="00A705BF" w:rsidP="00A705BF">
            <w:pPr>
              <w:jc w:val="center"/>
              <w:rPr>
                <w:i/>
              </w:rPr>
            </w:pPr>
            <w:r w:rsidRPr="007D31AA">
              <w:rPr>
                <w:i/>
              </w:rPr>
              <w:t>$92.9M</w:t>
            </w:r>
          </w:p>
        </w:tc>
        <w:tc>
          <w:tcPr>
            <w:tcW w:w="1350" w:type="dxa"/>
            <w:vAlign w:val="center"/>
          </w:tcPr>
          <w:p w14:paraId="4FF683B3" w14:textId="77777777" w:rsidR="00A705BF" w:rsidRPr="007D31AA" w:rsidRDefault="00A705BF" w:rsidP="00A705BF">
            <w:pPr>
              <w:jc w:val="center"/>
              <w:rPr>
                <w:i/>
                <w:color w:val="000000"/>
              </w:rPr>
            </w:pPr>
            <w:r w:rsidRPr="007D31AA">
              <w:rPr>
                <w:i/>
                <w:color w:val="000000"/>
              </w:rPr>
              <w:t>22.7%</w:t>
            </w:r>
          </w:p>
        </w:tc>
        <w:tc>
          <w:tcPr>
            <w:tcW w:w="1260" w:type="dxa"/>
            <w:vAlign w:val="center"/>
          </w:tcPr>
          <w:p w14:paraId="3F275CD1" w14:textId="77777777" w:rsidR="00A705BF" w:rsidRPr="007D31AA" w:rsidRDefault="00A705BF" w:rsidP="00A705BF">
            <w:pPr>
              <w:jc w:val="center"/>
              <w:rPr>
                <w:i/>
                <w:color w:val="000000"/>
              </w:rPr>
            </w:pPr>
            <w:r w:rsidRPr="007D31AA">
              <w:rPr>
                <w:i/>
                <w:color w:val="000000"/>
              </w:rPr>
              <w:t>$68.1M</w:t>
            </w:r>
          </w:p>
        </w:tc>
        <w:tc>
          <w:tcPr>
            <w:tcW w:w="1170" w:type="dxa"/>
            <w:vAlign w:val="center"/>
          </w:tcPr>
          <w:p w14:paraId="6420A241" w14:textId="77777777" w:rsidR="00A705BF" w:rsidRPr="007D31AA" w:rsidRDefault="00A705BF" w:rsidP="00A705BF">
            <w:pPr>
              <w:jc w:val="center"/>
              <w:rPr>
                <w:i/>
                <w:color w:val="000000"/>
              </w:rPr>
            </w:pPr>
            <w:r w:rsidRPr="007D31AA">
              <w:rPr>
                <w:i/>
                <w:color w:val="000000"/>
              </w:rPr>
              <w:t>$24.8M</w:t>
            </w:r>
          </w:p>
        </w:tc>
        <w:tc>
          <w:tcPr>
            <w:tcW w:w="1008" w:type="dxa"/>
            <w:vAlign w:val="center"/>
          </w:tcPr>
          <w:p w14:paraId="52FD79C5" w14:textId="77777777" w:rsidR="00A705BF" w:rsidRPr="007D31AA" w:rsidRDefault="00A705BF" w:rsidP="008559EC">
            <w:pPr>
              <w:jc w:val="center"/>
              <w:rPr>
                <w:i/>
                <w:color w:val="000000"/>
              </w:rPr>
            </w:pPr>
            <w:r w:rsidRPr="007D31AA">
              <w:rPr>
                <w:i/>
                <w:color w:val="000000"/>
              </w:rPr>
              <w:t>26.7%</w:t>
            </w:r>
          </w:p>
        </w:tc>
      </w:tr>
    </w:tbl>
    <w:p w14:paraId="55A92ED1" w14:textId="77777777" w:rsidR="00A264EB" w:rsidRDefault="00A264EB">
      <w:pPr>
        <w:rPr>
          <w:sz w:val="24"/>
          <w:szCs w:val="24"/>
        </w:rPr>
      </w:pPr>
      <w:r>
        <w:rPr>
          <w:sz w:val="24"/>
          <w:szCs w:val="24"/>
        </w:rPr>
        <w:br w:type="page"/>
      </w:r>
    </w:p>
    <w:p w14:paraId="5675D95F" w14:textId="77777777" w:rsidR="00331185" w:rsidRPr="00484577" w:rsidRDefault="00264B58" w:rsidP="00257F70">
      <w:pPr>
        <w:jc w:val="both"/>
        <w:rPr>
          <w:rFonts w:cstheme="minorHAnsi"/>
          <w:b/>
          <w:sz w:val="32"/>
          <w:szCs w:val="32"/>
        </w:rPr>
      </w:pPr>
      <w:r w:rsidRPr="00484577">
        <w:rPr>
          <w:rFonts w:cstheme="minorHAnsi"/>
          <w:b/>
          <w:sz w:val="32"/>
          <w:szCs w:val="32"/>
        </w:rPr>
        <w:lastRenderedPageBreak/>
        <w:t>5</w:t>
      </w:r>
      <w:r w:rsidR="008012B0" w:rsidRPr="00484577">
        <w:rPr>
          <w:rFonts w:cstheme="minorHAnsi"/>
          <w:b/>
          <w:sz w:val="32"/>
          <w:szCs w:val="32"/>
        </w:rPr>
        <w:t>.</w:t>
      </w:r>
      <w:r w:rsidR="00E6448E" w:rsidRPr="00484577">
        <w:rPr>
          <w:rFonts w:cstheme="minorHAnsi"/>
          <w:b/>
          <w:sz w:val="32"/>
          <w:szCs w:val="32"/>
        </w:rPr>
        <w:t xml:space="preserve"> </w:t>
      </w:r>
      <w:r w:rsidR="00331185" w:rsidRPr="00484577">
        <w:rPr>
          <w:rFonts w:cstheme="minorHAnsi"/>
          <w:b/>
          <w:sz w:val="32"/>
          <w:szCs w:val="32"/>
        </w:rPr>
        <w:t xml:space="preserve">Data </w:t>
      </w:r>
      <w:r w:rsidR="00632E09">
        <w:rPr>
          <w:rFonts w:cstheme="minorHAnsi"/>
          <w:b/>
          <w:sz w:val="32"/>
          <w:szCs w:val="32"/>
        </w:rPr>
        <w:t>Limitations</w:t>
      </w:r>
      <w:r w:rsidR="002F2901">
        <w:rPr>
          <w:rFonts w:cstheme="minorHAnsi"/>
          <w:b/>
          <w:sz w:val="32"/>
          <w:szCs w:val="32"/>
        </w:rPr>
        <w:t xml:space="preserve"> </w:t>
      </w:r>
      <w:r w:rsidR="00331185" w:rsidRPr="00484577">
        <w:rPr>
          <w:rFonts w:cstheme="minorHAnsi"/>
          <w:b/>
          <w:sz w:val="32"/>
          <w:szCs w:val="32"/>
        </w:rPr>
        <w:t xml:space="preserve">and </w:t>
      </w:r>
      <w:r w:rsidR="00632E09">
        <w:rPr>
          <w:rFonts w:cstheme="minorHAnsi"/>
          <w:b/>
          <w:sz w:val="32"/>
          <w:szCs w:val="32"/>
        </w:rPr>
        <w:t>Assumptions</w:t>
      </w:r>
    </w:p>
    <w:p w14:paraId="0220FC5D" w14:textId="77777777" w:rsidR="00632E09" w:rsidRPr="00677131" w:rsidRDefault="00632E09" w:rsidP="00677131">
      <w:pPr>
        <w:jc w:val="both"/>
        <w:rPr>
          <w:b/>
          <w:sz w:val="24"/>
          <w:szCs w:val="24"/>
        </w:rPr>
      </w:pPr>
      <w:r w:rsidRPr="00677131">
        <w:rPr>
          <w:b/>
          <w:sz w:val="24"/>
          <w:szCs w:val="24"/>
        </w:rPr>
        <w:t>Data Limitations</w:t>
      </w:r>
    </w:p>
    <w:p w14:paraId="467E3003" w14:textId="77777777" w:rsidR="00451BCD" w:rsidRDefault="00A264EB" w:rsidP="00677131">
      <w:pPr>
        <w:rPr>
          <w:sz w:val="24"/>
          <w:szCs w:val="24"/>
        </w:rPr>
      </w:pPr>
      <w:r w:rsidRPr="00451BCD">
        <w:rPr>
          <w:sz w:val="24"/>
          <w:szCs w:val="24"/>
        </w:rPr>
        <w:t xml:space="preserve">The data in this analysis is based on expenses for three </w:t>
      </w:r>
      <w:r w:rsidR="007960EE">
        <w:rPr>
          <w:sz w:val="24"/>
          <w:szCs w:val="24"/>
        </w:rPr>
        <w:t xml:space="preserve">Massachusetts </w:t>
      </w:r>
      <w:r w:rsidRPr="00451BCD">
        <w:rPr>
          <w:sz w:val="24"/>
          <w:szCs w:val="24"/>
        </w:rPr>
        <w:t xml:space="preserve">payers, </w:t>
      </w:r>
      <w:r w:rsidR="00451BCD" w:rsidRPr="00451BCD">
        <w:rPr>
          <w:sz w:val="24"/>
          <w:szCs w:val="24"/>
        </w:rPr>
        <w:t>which collectively account</w:t>
      </w:r>
      <w:r w:rsidR="00517831">
        <w:rPr>
          <w:sz w:val="24"/>
          <w:szCs w:val="24"/>
        </w:rPr>
        <w:t>ed</w:t>
      </w:r>
      <w:r w:rsidRPr="00451BCD">
        <w:rPr>
          <w:sz w:val="24"/>
          <w:szCs w:val="24"/>
        </w:rPr>
        <w:t xml:space="preserve"> for 65</w:t>
      </w:r>
      <w:r w:rsidR="00517831">
        <w:rPr>
          <w:sz w:val="24"/>
          <w:szCs w:val="24"/>
        </w:rPr>
        <w:t>%</w:t>
      </w:r>
      <w:r w:rsidRPr="00451BCD">
        <w:rPr>
          <w:sz w:val="24"/>
          <w:szCs w:val="24"/>
        </w:rPr>
        <w:t xml:space="preserve"> of the Commonwealth’s private</w:t>
      </w:r>
      <w:r w:rsidR="00501E58">
        <w:rPr>
          <w:sz w:val="24"/>
          <w:szCs w:val="24"/>
        </w:rPr>
        <w:t xml:space="preserve">, commercially insured market. This analysis used eligibility records for members covered for any time from January through December 2009. These records were submitted to the Division by payers in 2009. Similarly, this simulation used medical and pharmacy claims for services rendered in 2009. </w:t>
      </w:r>
      <w:r>
        <w:t xml:space="preserve">It is </w:t>
      </w:r>
      <w:r>
        <w:rPr>
          <w:sz w:val="24"/>
          <w:szCs w:val="24"/>
        </w:rPr>
        <w:t xml:space="preserve">not known, however, whether these </w:t>
      </w:r>
      <w:r w:rsidR="00632E09">
        <w:rPr>
          <w:sz w:val="24"/>
          <w:szCs w:val="24"/>
        </w:rPr>
        <w:t>rendered services</w:t>
      </w:r>
      <w:r w:rsidR="00501E58">
        <w:rPr>
          <w:sz w:val="24"/>
          <w:szCs w:val="24"/>
        </w:rPr>
        <w:t xml:space="preserve"> </w:t>
      </w:r>
      <w:r w:rsidR="00451BCD">
        <w:rPr>
          <w:sz w:val="24"/>
          <w:szCs w:val="24"/>
        </w:rPr>
        <w:t>were</w:t>
      </w:r>
      <w:r>
        <w:rPr>
          <w:sz w:val="24"/>
          <w:szCs w:val="24"/>
        </w:rPr>
        <w:t xml:space="preserve"> concentrated among providers with higher or lower costs, </w:t>
      </w:r>
      <w:r w:rsidR="00451BCD">
        <w:rPr>
          <w:sz w:val="24"/>
          <w:szCs w:val="24"/>
        </w:rPr>
        <w:t xml:space="preserve">higher or lower </w:t>
      </w:r>
      <w:r>
        <w:rPr>
          <w:sz w:val="24"/>
          <w:szCs w:val="24"/>
        </w:rPr>
        <w:t xml:space="preserve">volumes, or </w:t>
      </w:r>
      <w:r w:rsidR="00837792">
        <w:rPr>
          <w:sz w:val="24"/>
          <w:szCs w:val="24"/>
        </w:rPr>
        <w:t xml:space="preserve">higher or lower </w:t>
      </w:r>
      <w:r w:rsidR="00451BCD">
        <w:rPr>
          <w:sz w:val="24"/>
          <w:szCs w:val="24"/>
        </w:rPr>
        <w:t xml:space="preserve">average levels of </w:t>
      </w:r>
      <w:r>
        <w:rPr>
          <w:sz w:val="24"/>
          <w:szCs w:val="24"/>
        </w:rPr>
        <w:t xml:space="preserve">patient severity. This uncertainty has potential implications on cost savings estimates.  </w:t>
      </w:r>
    </w:p>
    <w:p w14:paraId="7204ADB8" w14:textId="77777777" w:rsidR="00451BCD" w:rsidRDefault="00A264EB" w:rsidP="00677131">
      <w:pPr>
        <w:rPr>
          <w:sz w:val="24"/>
          <w:szCs w:val="24"/>
        </w:rPr>
      </w:pPr>
      <w:r>
        <w:rPr>
          <w:sz w:val="24"/>
          <w:szCs w:val="24"/>
        </w:rPr>
        <w:t xml:space="preserve">If </w:t>
      </w:r>
      <w:r w:rsidR="00451BCD">
        <w:rPr>
          <w:sz w:val="24"/>
          <w:szCs w:val="24"/>
        </w:rPr>
        <w:t xml:space="preserve">the available data originates from </w:t>
      </w:r>
      <w:r>
        <w:rPr>
          <w:sz w:val="24"/>
          <w:szCs w:val="24"/>
        </w:rPr>
        <w:t xml:space="preserve">providers with </w:t>
      </w:r>
      <w:r w:rsidR="00451BCD">
        <w:rPr>
          <w:sz w:val="24"/>
          <w:szCs w:val="24"/>
        </w:rPr>
        <w:t xml:space="preserve">disproportionately </w:t>
      </w:r>
      <w:r>
        <w:rPr>
          <w:sz w:val="24"/>
          <w:szCs w:val="24"/>
        </w:rPr>
        <w:t>higher costs</w:t>
      </w:r>
      <w:r w:rsidR="00451BCD">
        <w:rPr>
          <w:sz w:val="24"/>
          <w:szCs w:val="24"/>
        </w:rPr>
        <w:t xml:space="preserve"> and</w:t>
      </w:r>
      <w:r>
        <w:rPr>
          <w:sz w:val="24"/>
          <w:szCs w:val="24"/>
        </w:rPr>
        <w:t xml:space="preserve"> greater </w:t>
      </w:r>
      <w:r w:rsidR="00451BCD">
        <w:rPr>
          <w:sz w:val="24"/>
          <w:szCs w:val="24"/>
        </w:rPr>
        <w:t>level</w:t>
      </w:r>
      <w:r w:rsidR="007960EE">
        <w:rPr>
          <w:sz w:val="24"/>
          <w:szCs w:val="24"/>
        </w:rPr>
        <w:t>s</w:t>
      </w:r>
      <w:r w:rsidR="00451BCD">
        <w:rPr>
          <w:sz w:val="24"/>
          <w:szCs w:val="24"/>
        </w:rPr>
        <w:t xml:space="preserve"> of </w:t>
      </w:r>
      <w:r>
        <w:rPr>
          <w:sz w:val="24"/>
          <w:szCs w:val="24"/>
        </w:rPr>
        <w:t>PACs</w:t>
      </w:r>
      <w:r w:rsidR="00451BCD">
        <w:rPr>
          <w:sz w:val="24"/>
          <w:szCs w:val="24"/>
        </w:rPr>
        <w:t xml:space="preserve">, the potential bundled payment cost savings averages for the seven conditions </w:t>
      </w:r>
      <w:r>
        <w:rPr>
          <w:sz w:val="24"/>
          <w:szCs w:val="24"/>
        </w:rPr>
        <w:t xml:space="preserve">may be </w:t>
      </w:r>
      <w:r w:rsidR="00451BCD">
        <w:rPr>
          <w:sz w:val="24"/>
          <w:szCs w:val="24"/>
        </w:rPr>
        <w:t>lower</w:t>
      </w:r>
      <w:r>
        <w:rPr>
          <w:sz w:val="24"/>
          <w:szCs w:val="24"/>
        </w:rPr>
        <w:t xml:space="preserve"> tha</w:t>
      </w:r>
      <w:r w:rsidR="00451BCD">
        <w:rPr>
          <w:sz w:val="24"/>
          <w:szCs w:val="24"/>
        </w:rPr>
        <w:t xml:space="preserve">n the estimates </w:t>
      </w:r>
      <w:r w:rsidR="007960EE">
        <w:rPr>
          <w:sz w:val="24"/>
          <w:szCs w:val="24"/>
        </w:rPr>
        <w:t>in</w:t>
      </w:r>
      <w:r w:rsidR="00451BCD">
        <w:rPr>
          <w:sz w:val="24"/>
          <w:szCs w:val="24"/>
        </w:rPr>
        <w:t xml:space="preserve"> this report</w:t>
      </w:r>
      <w:r w:rsidR="007960EE">
        <w:rPr>
          <w:sz w:val="24"/>
          <w:szCs w:val="24"/>
        </w:rPr>
        <w:t>.</w:t>
      </w:r>
      <w:r w:rsidR="00451BCD">
        <w:rPr>
          <w:rStyle w:val="FootnoteReference"/>
          <w:sz w:val="24"/>
          <w:szCs w:val="24"/>
        </w:rPr>
        <w:footnoteReference w:id="19"/>
      </w:r>
      <w:r w:rsidR="00451BCD">
        <w:rPr>
          <w:sz w:val="24"/>
          <w:szCs w:val="24"/>
        </w:rPr>
        <w:t xml:space="preserve"> Conversely, if th</w:t>
      </w:r>
      <w:r w:rsidR="007960EE">
        <w:rPr>
          <w:sz w:val="24"/>
          <w:szCs w:val="24"/>
        </w:rPr>
        <w:t>e</w:t>
      </w:r>
      <w:r w:rsidR="00451BCD">
        <w:rPr>
          <w:sz w:val="24"/>
          <w:szCs w:val="24"/>
        </w:rPr>
        <w:t xml:space="preserve"> providers sampled through these three payers had a lower than average severity mix or accounted for a smaller proportion of the state’s overall volume in these conditions, the opposite could be true.  </w:t>
      </w:r>
    </w:p>
    <w:p w14:paraId="38895964" w14:textId="77777777" w:rsidR="00A264EB" w:rsidRDefault="00501E58" w:rsidP="00677131">
      <w:pPr>
        <w:rPr>
          <w:sz w:val="24"/>
          <w:szCs w:val="24"/>
        </w:rPr>
      </w:pPr>
      <w:r>
        <w:rPr>
          <w:sz w:val="24"/>
          <w:szCs w:val="24"/>
        </w:rPr>
        <w:t>C</w:t>
      </w:r>
      <w:r w:rsidR="00A264EB">
        <w:rPr>
          <w:sz w:val="24"/>
          <w:szCs w:val="24"/>
        </w:rPr>
        <w:t xml:space="preserve">overage data was </w:t>
      </w:r>
      <w:r>
        <w:rPr>
          <w:sz w:val="24"/>
          <w:szCs w:val="24"/>
        </w:rPr>
        <w:t xml:space="preserve">also </w:t>
      </w:r>
      <w:r w:rsidR="00A264EB">
        <w:rPr>
          <w:sz w:val="24"/>
          <w:szCs w:val="24"/>
        </w:rPr>
        <w:t>limited to</w:t>
      </w:r>
      <w:r w:rsidR="00A264EB" w:rsidRPr="0062406E">
        <w:rPr>
          <w:sz w:val="24"/>
          <w:szCs w:val="24"/>
        </w:rPr>
        <w:t xml:space="preserve"> Massachusetts residents </w:t>
      </w:r>
      <w:r w:rsidR="00A264EB">
        <w:rPr>
          <w:sz w:val="24"/>
          <w:szCs w:val="24"/>
        </w:rPr>
        <w:t xml:space="preserve">who </w:t>
      </w:r>
      <w:r w:rsidR="00A264EB" w:rsidRPr="0062406E">
        <w:rPr>
          <w:sz w:val="24"/>
          <w:szCs w:val="24"/>
        </w:rPr>
        <w:t>hav</w:t>
      </w:r>
      <w:r w:rsidR="00A264EB">
        <w:rPr>
          <w:sz w:val="24"/>
          <w:szCs w:val="24"/>
        </w:rPr>
        <w:t>e</w:t>
      </w:r>
      <w:r w:rsidR="00A264EB" w:rsidRPr="0062406E">
        <w:rPr>
          <w:sz w:val="24"/>
          <w:szCs w:val="24"/>
        </w:rPr>
        <w:t xml:space="preserve"> both medical and prescription drug coverage through an employer or through the private, non-group market. Members in Medicare Advantage or Medicaid managed care were excluded from</w:t>
      </w:r>
      <w:r w:rsidR="00A264EB">
        <w:rPr>
          <w:sz w:val="24"/>
          <w:szCs w:val="24"/>
        </w:rPr>
        <w:t xml:space="preserve"> this</w:t>
      </w:r>
      <w:r w:rsidR="00A264EB" w:rsidRPr="0062406E">
        <w:rPr>
          <w:sz w:val="24"/>
          <w:szCs w:val="24"/>
        </w:rPr>
        <w:t xml:space="preserve"> analysis</w:t>
      </w:r>
      <w:r w:rsidR="00A264EB">
        <w:rPr>
          <w:sz w:val="24"/>
          <w:szCs w:val="24"/>
        </w:rPr>
        <w:t xml:space="preserve">, likely </w:t>
      </w:r>
      <w:r>
        <w:rPr>
          <w:sz w:val="24"/>
          <w:szCs w:val="24"/>
        </w:rPr>
        <w:t>resulting in an underestimate of</w:t>
      </w:r>
      <w:r w:rsidR="00A264EB">
        <w:rPr>
          <w:sz w:val="24"/>
          <w:szCs w:val="24"/>
        </w:rPr>
        <w:t xml:space="preserve"> the potential total cost savings.</w:t>
      </w:r>
    </w:p>
    <w:p w14:paraId="08371A63" w14:textId="77777777" w:rsidR="00A264EB" w:rsidRDefault="00A264EB" w:rsidP="00677131">
      <w:pPr>
        <w:rPr>
          <w:sz w:val="24"/>
          <w:szCs w:val="24"/>
        </w:rPr>
      </w:pPr>
      <w:r>
        <w:rPr>
          <w:sz w:val="24"/>
          <w:szCs w:val="24"/>
        </w:rPr>
        <w:t xml:space="preserve">This simulation analyzed only seven of the 21 medical conditions and procedures for which there is an ECR </w:t>
      </w:r>
      <w:r w:rsidR="00970168">
        <w:rPr>
          <w:sz w:val="24"/>
          <w:szCs w:val="24"/>
        </w:rPr>
        <w:t>in</w:t>
      </w:r>
      <w:r>
        <w:rPr>
          <w:sz w:val="24"/>
          <w:szCs w:val="24"/>
        </w:rPr>
        <w:t xml:space="preserve"> the Prometheus Payment Model. As the simulation timeframe spanned only one calendar year, the analysis was limited to conditions and services in which the ECR time window could be contained in the one-year period. Chronic conditions that require a one-year period after the trigger claim,</w:t>
      </w:r>
      <w:r w:rsidR="00970168">
        <w:rPr>
          <w:sz w:val="24"/>
          <w:szCs w:val="24"/>
        </w:rPr>
        <w:t xml:space="preserve"> for instance, were excluded. Additionally, t</w:t>
      </w:r>
      <w:r>
        <w:rPr>
          <w:sz w:val="24"/>
          <w:szCs w:val="24"/>
        </w:rPr>
        <w:t>he data in this analysis do not fully account for a look-forward period of a patient having gallbladder surgery in December (180 day look-forward period)</w:t>
      </w:r>
      <w:r w:rsidR="009C2D9F">
        <w:rPr>
          <w:sz w:val="24"/>
          <w:szCs w:val="24"/>
        </w:rPr>
        <w:t>, so those</w:t>
      </w:r>
      <w:r>
        <w:rPr>
          <w:sz w:val="24"/>
          <w:szCs w:val="24"/>
        </w:rPr>
        <w:t xml:space="preserve"> ECR observation</w:t>
      </w:r>
      <w:r w:rsidR="00970168">
        <w:rPr>
          <w:sz w:val="24"/>
          <w:szCs w:val="24"/>
        </w:rPr>
        <w:t>s</w:t>
      </w:r>
      <w:r>
        <w:rPr>
          <w:sz w:val="24"/>
          <w:szCs w:val="24"/>
        </w:rPr>
        <w:t xml:space="preserve"> </w:t>
      </w:r>
      <w:r w:rsidR="00970168">
        <w:rPr>
          <w:sz w:val="24"/>
          <w:szCs w:val="24"/>
        </w:rPr>
        <w:t>were</w:t>
      </w:r>
      <w:r>
        <w:rPr>
          <w:sz w:val="24"/>
          <w:szCs w:val="24"/>
        </w:rPr>
        <w:t xml:space="preserve"> dropped from the </w:t>
      </w:r>
      <w:r w:rsidR="009C2D9F">
        <w:rPr>
          <w:sz w:val="24"/>
          <w:szCs w:val="24"/>
        </w:rPr>
        <w:t>simulation</w:t>
      </w:r>
      <w:r>
        <w:rPr>
          <w:sz w:val="24"/>
          <w:szCs w:val="24"/>
        </w:rPr>
        <w:t xml:space="preserve">. </w:t>
      </w:r>
    </w:p>
    <w:p w14:paraId="44FBFF43" w14:textId="77777777" w:rsidR="00970168" w:rsidRDefault="00970168" w:rsidP="00331185">
      <w:pPr>
        <w:jc w:val="both"/>
        <w:rPr>
          <w:sz w:val="24"/>
          <w:szCs w:val="24"/>
        </w:rPr>
      </w:pPr>
    </w:p>
    <w:p w14:paraId="127C8921" w14:textId="77777777" w:rsidR="00632E09" w:rsidRPr="00677131" w:rsidRDefault="00632E09" w:rsidP="00677131">
      <w:pPr>
        <w:jc w:val="both"/>
        <w:rPr>
          <w:b/>
          <w:sz w:val="24"/>
          <w:szCs w:val="24"/>
        </w:rPr>
      </w:pPr>
      <w:r w:rsidRPr="00677131">
        <w:rPr>
          <w:b/>
          <w:sz w:val="24"/>
          <w:szCs w:val="24"/>
        </w:rPr>
        <w:t>Data Assumptions</w:t>
      </w:r>
    </w:p>
    <w:p w14:paraId="4EA57E05" w14:textId="77777777" w:rsidR="00A264EB" w:rsidRDefault="003F108C" w:rsidP="00677131">
      <w:pPr>
        <w:rPr>
          <w:sz w:val="24"/>
          <w:szCs w:val="24"/>
        </w:rPr>
      </w:pPr>
      <w:r>
        <w:rPr>
          <w:sz w:val="24"/>
          <w:szCs w:val="24"/>
        </w:rPr>
        <w:t xml:space="preserve">This simulation is based </w:t>
      </w:r>
      <w:r w:rsidR="00677131">
        <w:rPr>
          <w:sz w:val="24"/>
          <w:szCs w:val="24"/>
        </w:rPr>
        <w:t>on</w:t>
      </w:r>
      <w:r>
        <w:rPr>
          <w:sz w:val="24"/>
          <w:szCs w:val="24"/>
        </w:rPr>
        <w:t xml:space="preserve"> a number of assumptions that </w:t>
      </w:r>
      <w:r w:rsidR="00DE48B9">
        <w:rPr>
          <w:sz w:val="24"/>
          <w:szCs w:val="24"/>
        </w:rPr>
        <w:t xml:space="preserve">may </w:t>
      </w:r>
      <w:r>
        <w:rPr>
          <w:sz w:val="24"/>
          <w:szCs w:val="24"/>
        </w:rPr>
        <w:t xml:space="preserve">limit the generalizability of its results. As discussed in Section 1, </w:t>
      </w:r>
      <w:r w:rsidR="00A22611">
        <w:rPr>
          <w:sz w:val="24"/>
          <w:szCs w:val="24"/>
        </w:rPr>
        <w:t>a</w:t>
      </w:r>
      <w:r>
        <w:rPr>
          <w:sz w:val="24"/>
          <w:szCs w:val="24"/>
        </w:rPr>
        <w:t xml:space="preserve"> key assumption </w:t>
      </w:r>
      <w:r w:rsidR="00DE48B9">
        <w:rPr>
          <w:sz w:val="24"/>
          <w:szCs w:val="24"/>
        </w:rPr>
        <w:t>made in</w:t>
      </w:r>
      <w:r>
        <w:rPr>
          <w:sz w:val="24"/>
          <w:szCs w:val="24"/>
        </w:rPr>
        <w:t xml:space="preserve"> this analysis is that cost savings will </w:t>
      </w:r>
      <w:r>
        <w:rPr>
          <w:sz w:val="24"/>
          <w:szCs w:val="24"/>
        </w:rPr>
        <w:lastRenderedPageBreak/>
        <w:t xml:space="preserve">be achieved by eliminating </w:t>
      </w:r>
      <w:r w:rsidR="00446C1B">
        <w:rPr>
          <w:sz w:val="24"/>
          <w:szCs w:val="24"/>
        </w:rPr>
        <w:t>a specified proportion</w:t>
      </w:r>
      <w:r>
        <w:rPr>
          <w:sz w:val="24"/>
          <w:szCs w:val="24"/>
        </w:rPr>
        <w:t xml:space="preserve"> of estimated PAC costs</w:t>
      </w:r>
      <w:r w:rsidR="00446C1B">
        <w:rPr>
          <w:sz w:val="24"/>
          <w:szCs w:val="24"/>
        </w:rPr>
        <w:t xml:space="preserve"> for a given condition</w:t>
      </w:r>
      <w:r w:rsidR="00970168">
        <w:rPr>
          <w:sz w:val="24"/>
          <w:szCs w:val="24"/>
        </w:rPr>
        <w:t xml:space="preserve">. </w:t>
      </w:r>
      <w:r w:rsidR="00A22611">
        <w:rPr>
          <w:sz w:val="24"/>
          <w:szCs w:val="24"/>
        </w:rPr>
        <w:t>This study</w:t>
      </w:r>
      <w:r w:rsidR="00446C1B">
        <w:rPr>
          <w:sz w:val="24"/>
          <w:szCs w:val="24"/>
        </w:rPr>
        <w:t xml:space="preserve"> estimated</w:t>
      </w:r>
      <w:r w:rsidR="006D3060">
        <w:rPr>
          <w:sz w:val="24"/>
          <w:szCs w:val="24"/>
        </w:rPr>
        <w:t xml:space="preserve"> </w:t>
      </w:r>
      <w:r>
        <w:rPr>
          <w:sz w:val="24"/>
          <w:szCs w:val="24"/>
        </w:rPr>
        <w:t xml:space="preserve">PAC </w:t>
      </w:r>
      <w:r w:rsidR="006D3060">
        <w:rPr>
          <w:sz w:val="24"/>
          <w:szCs w:val="24"/>
        </w:rPr>
        <w:t>savings</w:t>
      </w:r>
      <w:r>
        <w:rPr>
          <w:sz w:val="24"/>
          <w:szCs w:val="24"/>
        </w:rPr>
        <w:t xml:space="preserve"> at 50</w:t>
      </w:r>
      <w:r w:rsidR="00677131">
        <w:rPr>
          <w:sz w:val="24"/>
          <w:szCs w:val="24"/>
        </w:rPr>
        <w:t>%</w:t>
      </w:r>
      <w:r w:rsidRPr="0062406E">
        <w:rPr>
          <w:rStyle w:val="FootnoteReference"/>
          <w:rFonts w:eastAsia="Times New Roman"/>
          <w:sz w:val="24"/>
          <w:szCs w:val="24"/>
        </w:rPr>
        <w:footnoteReference w:id="20"/>
      </w:r>
      <w:r w:rsidR="00446C1B">
        <w:rPr>
          <w:sz w:val="24"/>
          <w:szCs w:val="24"/>
        </w:rPr>
        <w:t xml:space="preserve"> </w:t>
      </w:r>
      <w:r w:rsidR="006D3060">
        <w:rPr>
          <w:sz w:val="24"/>
          <w:szCs w:val="24"/>
        </w:rPr>
        <w:t>(a PAC allowance of 50</w:t>
      </w:r>
      <w:r w:rsidR="00677131">
        <w:rPr>
          <w:sz w:val="24"/>
          <w:szCs w:val="24"/>
        </w:rPr>
        <w:t>%</w:t>
      </w:r>
      <w:r w:rsidR="006D3060">
        <w:rPr>
          <w:sz w:val="24"/>
          <w:szCs w:val="24"/>
        </w:rPr>
        <w:t xml:space="preserve">) </w:t>
      </w:r>
      <w:r w:rsidR="00446C1B">
        <w:rPr>
          <w:sz w:val="24"/>
          <w:szCs w:val="24"/>
        </w:rPr>
        <w:t>base</w:t>
      </w:r>
      <w:r w:rsidR="00677131">
        <w:rPr>
          <w:sz w:val="24"/>
          <w:szCs w:val="24"/>
        </w:rPr>
        <w:t>d upon widely cited literature.</w:t>
      </w:r>
      <w:r w:rsidR="00446C1B">
        <w:rPr>
          <w:sz w:val="24"/>
          <w:szCs w:val="24"/>
        </w:rPr>
        <w:t xml:space="preserve"> </w:t>
      </w:r>
      <w:r w:rsidR="00DE48B9">
        <w:rPr>
          <w:sz w:val="24"/>
          <w:szCs w:val="24"/>
        </w:rPr>
        <w:t>However, other studies have used different PAC allowance metrics</w:t>
      </w:r>
      <w:r w:rsidR="00970168">
        <w:rPr>
          <w:sz w:val="24"/>
          <w:szCs w:val="24"/>
        </w:rPr>
        <w:t>.</w:t>
      </w:r>
      <w:r w:rsidR="00446C1B">
        <w:rPr>
          <w:rStyle w:val="FootnoteReference"/>
          <w:sz w:val="24"/>
          <w:szCs w:val="24"/>
        </w:rPr>
        <w:footnoteReference w:id="21"/>
      </w:r>
      <w:r w:rsidR="00677131">
        <w:rPr>
          <w:sz w:val="24"/>
          <w:szCs w:val="24"/>
        </w:rPr>
        <w:t xml:space="preserve"> </w:t>
      </w:r>
      <w:r w:rsidR="00446C1B">
        <w:rPr>
          <w:sz w:val="24"/>
          <w:szCs w:val="24"/>
        </w:rPr>
        <w:t xml:space="preserve">Establishing the level of </w:t>
      </w:r>
      <w:r w:rsidR="006D3060">
        <w:rPr>
          <w:sz w:val="24"/>
          <w:szCs w:val="24"/>
        </w:rPr>
        <w:t>PAC</w:t>
      </w:r>
      <w:r w:rsidR="00677131">
        <w:rPr>
          <w:sz w:val="24"/>
          <w:szCs w:val="24"/>
        </w:rPr>
        <w:t xml:space="preserve"> savings</w:t>
      </w:r>
      <w:r w:rsidR="006D3060">
        <w:rPr>
          <w:sz w:val="24"/>
          <w:szCs w:val="24"/>
        </w:rPr>
        <w:t xml:space="preserve"> within any simulation</w:t>
      </w:r>
      <w:r w:rsidR="00A264EB">
        <w:rPr>
          <w:sz w:val="24"/>
          <w:szCs w:val="24"/>
        </w:rPr>
        <w:t xml:space="preserve"> </w:t>
      </w:r>
      <w:r w:rsidR="00A22611">
        <w:rPr>
          <w:sz w:val="24"/>
          <w:szCs w:val="24"/>
        </w:rPr>
        <w:t>directly</w:t>
      </w:r>
      <w:r w:rsidR="006D3060">
        <w:rPr>
          <w:sz w:val="24"/>
          <w:szCs w:val="24"/>
        </w:rPr>
        <w:t xml:space="preserve"> impact</w:t>
      </w:r>
      <w:r w:rsidR="00A22611">
        <w:rPr>
          <w:sz w:val="24"/>
          <w:szCs w:val="24"/>
        </w:rPr>
        <w:t>s</w:t>
      </w:r>
      <w:r w:rsidR="006D3060">
        <w:rPr>
          <w:sz w:val="24"/>
          <w:szCs w:val="24"/>
        </w:rPr>
        <w:t xml:space="preserve"> the amount of overall ECR bundled payment savings.  </w:t>
      </w:r>
    </w:p>
    <w:p w14:paraId="3DE06726" w14:textId="77777777" w:rsidR="00EC3566" w:rsidRDefault="00EC3566" w:rsidP="00677131">
      <w:pPr>
        <w:rPr>
          <w:sz w:val="24"/>
          <w:szCs w:val="24"/>
        </w:rPr>
      </w:pPr>
      <w:r>
        <w:rPr>
          <w:sz w:val="24"/>
          <w:szCs w:val="24"/>
        </w:rPr>
        <w:t xml:space="preserve">The Prometheus Payment Model also assumes a margin of </w:t>
      </w:r>
      <w:r w:rsidR="00677131">
        <w:rPr>
          <w:sz w:val="24"/>
          <w:szCs w:val="24"/>
        </w:rPr>
        <w:t>10%</w:t>
      </w:r>
      <w:r>
        <w:rPr>
          <w:sz w:val="24"/>
          <w:szCs w:val="24"/>
        </w:rPr>
        <w:t xml:space="preserve"> of a condition’s “typical care price” for prov</w:t>
      </w:r>
      <w:r w:rsidR="00677131">
        <w:rPr>
          <w:sz w:val="24"/>
          <w:szCs w:val="24"/>
        </w:rPr>
        <w:t>iders for all seven conditions.</w:t>
      </w:r>
      <w:r>
        <w:rPr>
          <w:sz w:val="24"/>
          <w:szCs w:val="24"/>
        </w:rPr>
        <w:t xml:space="preserve"> This </w:t>
      </w:r>
      <w:r w:rsidR="00632E09">
        <w:rPr>
          <w:sz w:val="24"/>
          <w:szCs w:val="24"/>
        </w:rPr>
        <w:t xml:space="preserve">margin level likely differs </w:t>
      </w:r>
      <w:r w:rsidR="00677131">
        <w:rPr>
          <w:sz w:val="24"/>
          <w:szCs w:val="24"/>
        </w:rPr>
        <w:t>in</w:t>
      </w:r>
      <w:r w:rsidR="00632E09">
        <w:rPr>
          <w:sz w:val="24"/>
          <w:szCs w:val="24"/>
        </w:rPr>
        <w:t xml:space="preserve"> e</w:t>
      </w:r>
      <w:r w:rsidR="00677131">
        <w:rPr>
          <w:sz w:val="24"/>
          <w:szCs w:val="24"/>
        </w:rPr>
        <w:t>ach provider-payer relationship</w:t>
      </w:r>
      <w:r w:rsidR="00632E09">
        <w:rPr>
          <w:sz w:val="24"/>
          <w:szCs w:val="24"/>
        </w:rPr>
        <w:t xml:space="preserve"> and may also va</w:t>
      </w:r>
      <w:r w:rsidR="00970168">
        <w:rPr>
          <w:sz w:val="24"/>
          <w:szCs w:val="24"/>
        </w:rPr>
        <w:t>ry from condition to condition,</w:t>
      </w:r>
      <w:r w:rsidR="00632E09">
        <w:rPr>
          <w:sz w:val="24"/>
          <w:szCs w:val="24"/>
        </w:rPr>
        <w:t xml:space="preserve"> neither of which is accounted for in this </w:t>
      </w:r>
      <w:r w:rsidR="00677131">
        <w:rPr>
          <w:sz w:val="24"/>
          <w:szCs w:val="24"/>
        </w:rPr>
        <w:t>simulation</w:t>
      </w:r>
      <w:r w:rsidR="00632E09">
        <w:rPr>
          <w:sz w:val="24"/>
          <w:szCs w:val="24"/>
        </w:rPr>
        <w:t>.</w:t>
      </w:r>
      <w:r>
        <w:rPr>
          <w:sz w:val="24"/>
          <w:szCs w:val="24"/>
        </w:rPr>
        <w:t xml:space="preserve"> </w:t>
      </w:r>
    </w:p>
    <w:p w14:paraId="64E1F4C5" w14:textId="77777777" w:rsidR="00A264EB" w:rsidRDefault="00A264EB">
      <w:pPr>
        <w:rPr>
          <w:b/>
          <w:sz w:val="32"/>
          <w:szCs w:val="32"/>
        </w:rPr>
      </w:pPr>
      <w:r>
        <w:rPr>
          <w:b/>
          <w:sz w:val="32"/>
          <w:szCs w:val="32"/>
        </w:rPr>
        <w:br w:type="page"/>
      </w:r>
    </w:p>
    <w:p w14:paraId="4B780CD9" w14:textId="77777777" w:rsidR="00F648AF" w:rsidRPr="00417D90" w:rsidRDefault="00331185" w:rsidP="00D21F3F">
      <w:pPr>
        <w:jc w:val="both"/>
        <w:rPr>
          <w:b/>
          <w:sz w:val="32"/>
          <w:szCs w:val="32"/>
        </w:rPr>
      </w:pPr>
      <w:r>
        <w:rPr>
          <w:b/>
          <w:sz w:val="32"/>
          <w:szCs w:val="32"/>
        </w:rPr>
        <w:lastRenderedPageBreak/>
        <w:t xml:space="preserve">6. </w:t>
      </w:r>
      <w:r w:rsidR="00AD1CDF" w:rsidRPr="0062406E">
        <w:rPr>
          <w:b/>
          <w:sz w:val="32"/>
          <w:szCs w:val="32"/>
        </w:rPr>
        <w:t>Discussion</w:t>
      </w:r>
      <w:r w:rsidR="009C2D9F">
        <w:rPr>
          <w:b/>
          <w:sz w:val="32"/>
          <w:szCs w:val="32"/>
        </w:rPr>
        <w:t xml:space="preserve"> and Conclusions</w:t>
      </w:r>
    </w:p>
    <w:p w14:paraId="5791AE28" w14:textId="77777777" w:rsidR="00782099" w:rsidRDefault="00A264EB" w:rsidP="00677131">
      <w:pPr>
        <w:rPr>
          <w:sz w:val="24"/>
          <w:szCs w:val="24"/>
        </w:rPr>
      </w:pPr>
      <w:r w:rsidRPr="00253EED">
        <w:rPr>
          <w:sz w:val="24"/>
          <w:szCs w:val="24"/>
        </w:rPr>
        <w:t xml:space="preserve">To address policymakers’ concerns about rising health care costs, fragmentation, and inefficiency in care delivery, </w:t>
      </w:r>
      <w:r w:rsidR="001B0B55" w:rsidRPr="00253EED">
        <w:rPr>
          <w:sz w:val="24"/>
          <w:szCs w:val="24"/>
        </w:rPr>
        <w:t xml:space="preserve">Section 64 of Chapter 288 of the Acts of 2010 directed the Division to </w:t>
      </w:r>
      <w:r w:rsidR="009C2D9F">
        <w:rPr>
          <w:sz w:val="24"/>
          <w:szCs w:val="24"/>
        </w:rPr>
        <w:t>foster the</w:t>
      </w:r>
      <w:r w:rsidR="001B0B55" w:rsidRPr="00253EED">
        <w:rPr>
          <w:sz w:val="24"/>
          <w:szCs w:val="24"/>
        </w:rPr>
        <w:t xml:space="preserve"> adoption of bundled payment arrangements in the Commonwealth.</w:t>
      </w:r>
      <w:r w:rsidR="001B0B55" w:rsidRPr="0062406E">
        <w:rPr>
          <w:sz w:val="24"/>
          <w:szCs w:val="24"/>
        </w:rPr>
        <w:t xml:space="preserve"> </w:t>
      </w:r>
      <w:r w:rsidR="003F61FB">
        <w:rPr>
          <w:sz w:val="24"/>
          <w:szCs w:val="24"/>
        </w:rPr>
        <w:t>B</w:t>
      </w:r>
      <w:r w:rsidR="003F61FB" w:rsidRPr="00ED2DFE">
        <w:rPr>
          <w:sz w:val="24"/>
          <w:szCs w:val="24"/>
        </w:rPr>
        <w:t xml:space="preserve">undled payment models show promise in reducing health care cost growth </w:t>
      </w:r>
      <w:r w:rsidR="00594D25">
        <w:rPr>
          <w:sz w:val="24"/>
          <w:szCs w:val="24"/>
        </w:rPr>
        <w:t>by</w:t>
      </w:r>
      <w:r w:rsidR="003F61FB">
        <w:rPr>
          <w:sz w:val="24"/>
          <w:szCs w:val="24"/>
        </w:rPr>
        <w:t xml:space="preserve"> </w:t>
      </w:r>
      <w:r w:rsidR="00970168">
        <w:rPr>
          <w:sz w:val="24"/>
          <w:szCs w:val="24"/>
        </w:rPr>
        <w:t xml:space="preserve">implementing financial incentives </w:t>
      </w:r>
      <w:r w:rsidR="00E60B0D">
        <w:rPr>
          <w:sz w:val="24"/>
          <w:szCs w:val="24"/>
        </w:rPr>
        <w:t>that</w:t>
      </w:r>
      <w:r w:rsidR="00970168">
        <w:rPr>
          <w:sz w:val="24"/>
          <w:szCs w:val="24"/>
        </w:rPr>
        <w:t xml:space="preserve"> </w:t>
      </w:r>
      <w:r w:rsidR="00E60B0D">
        <w:rPr>
          <w:sz w:val="24"/>
          <w:szCs w:val="24"/>
        </w:rPr>
        <w:t xml:space="preserve">better </w:t>
      </w:r>
      <w:r w:rsidR="00970168">
        <w:rPr>
          <w:sz w:val="24"/>
          <w:szCs w:val="24"/>
        </w:rPr>
        <w:t>align health care service provision and health care costs</w:t>
      </w:r>
      <w:r w:rsidR="003F61FB">
        <w:rPr>
          <w:sz w:val="24"/>
          <w:szCs w:val="24"/>
        </w:rPr>
        <w:t>.</w:t>
      </w:r>
      <w:r w:rsidR="003F61FB">
        <w:t xml:space="preserve"> </w:t>
      </w:r>
      <w:r w:rsidR="00E45A1C" w:rsidRPr="0062406E">
        <w:rPr>
          <w:sz w:val="24"/>
          <w:szCs w:val="24"/>
        </w:rPr>
        <w:t>Bundled payment</w:t>
      </w:r>
      <w:r w:rsidR="00F82567">
        <w:rPr>
          <w:sz w:val="24"/>
          <w:szCs w:val="24"/>
        </w:rPr>
        <w:t>s</w:t>
      </w:r>
      <w:r w:rsidR="00E45A1C" w:rsidRPr="0062406E">
        <w:rPr>
          <w:sz w:val="24"/>
          <w:szCs w:val="24"/>
        </w:rPr>
        <w:t xml:space="preserve"> </w:t>
      </w:r>
      <w:r w:rsidR="00F82567">
        <w:rPr>
          <w:sz w:val="24"/>
          <w:szCs w:val="24"/>
        </w:rPr>
        <w:t>are</w:t>
      </w:r>
      <w:r w:rsidR="00F82567" w:rsidRPr="0062406E">
        <w:rPr>
          <w:sz w:val="24"/>
          <w:szCs w:val="24"/>
        </w:rPr>
        <w:t xml:space="preserve"> </w:t>
      </w:r>
      <w:r w:rsidR="00594D25">
        <w:rPr>
          <w:sz w:val="24"/>
          <w:szCs w:val="24"/>
        </w:rPr>
        <w:t xml:space="preserve">also </w:t>
      </w:r>
      <w:r w:rsidR="00E45A1C" w:rsidRPr="0062406E">
        <w:rPr>
          <w:sz w:val="24"/>
          <w:szCs w:val="24"/>
        </w:rPr>
        <w:t>one of the alternative payment methods proposed in the Patient Protection and Affordable Care Act and</w:t>
      </w:r>
      <w:r w:rsidR="0090288A">
        <w:rPr>
          <w:sz w:val="24"/>
          <w:szCs w:val="24"/>
        </w:rPr>
        <w:t xml:space="preserve"> </w:t>
      </w:r>
      <w:r w:rsidR="00E45A1C" w:rsidRPr="0062406E">
        <w:rPr>
          <w:sz w:val="24"/>
          <w:szCs w:val="24"/>
        </w:rPr>
        <w:t>ha</w:t>
      </w:r>
      <w:r w:rsidR="0090288A">
        <w:rPr>
          <w:sz w:val="24"/>
          <w:szCs w:val="24"/>
        </w:rPr>
        <w:t>ve</w:t>
      </w:r>
      <w:r w:rsidR="00E45A1C" w:rsidRPr="0062406E">
        <w:rPr>
          <w:sz w:val="24"/>
          <w:szCs w:val="24"/>
        </w:rPr>
        <w:t xml:space="preserve"> been part of demonstration proje</w:t>
      </w:r>
      <w:r w:rsidR="00E45A1C" w:rsidRPr="008E1AB7">
        <w:rPr>
          <w:sz w:val="24"/>
          <w:szCs w:val="24"/>
        </w:rPr>
        <w:t>c</w:t>
      </w:r>
      <w:r w:rsidR="00E45A1C" w:rsidRPr="0062406E">
        <w:rPr>
          <w:sz w:val="24"/>
          <w:szCs w:val="24"/>
        </w:rPr>
        <w:t>ts initiated by the Centers for Medicare and Medicaid Services</w:t>
      </w:r>
      <w:r w:rsidR="00DB7EE2">
        <w:rPr>
          <w:sz w:val="24"/>
          <w:szCs w:val="24"/>
        </w:rPr>
        <w:t xml:space="preserve">. </w:t>
      </w:r>
    </w:p>
    <w:p w14:paraId="0AD31FC2" w14:textId="77777777" w:rsidR="00FC5958" w:rsidRPr="00B75081" w:rsidRDefault="00FC5958" w:rsidP="00B75081">
      <w:pPr>
        <w:rPr>
          <w:b/>
          <w:sz w:val="24"/>
          <w:szCs w:val="24"/>
        </w:rPr>
      </w:pPr>
      <w:r w:rsidRPr="00B75081">
        <w:rPr>
          <w:b/>
          <w:sz w:val="24"/>
          <w:szCs w:val="24"/>
        </w:rPr>
        <w:t xml:space="preserve">Condition-specific Savings Varies with PAC Prevalence, Margins, and Volume of Episodes </w:t>
      </w:r>
    </w:p>
    <w:p w14:paraId="6076062E" w14:textId="77777777" w:rsidR="00E60B0D" w:rsidRDefault="00E60B0D" w:rsidP="00B75081">
      <w:pPr>
        <w:rPr>
          <w:sz w:val="24"/>
          <w:szCs w:val="24"/>
        </w:rPr>
      </w:pPr>
      <w:r w:rsidRPr="0062406E">
        <w:rPr>
          <w:sz w:val="24"/>
          <w:szCs w:val="24"/>
        </w:rPr>
        <w:t>This report quantifie</w:t>
      </w:r>
      <w:r>
        <w:rPr>
          <w:sz w:val="24"/>
          <w:szCs w:val="24"/>
        </w:rPr>
        <w:t>s</w:t>
      </w:r>
      <w:r w:rsidRPr="0062406E">
        <w:rPr>
          <w:sz w:val="24"/>
          <w:szCs w:val="24"/>
        </w:rPr>
        <w:t xml:space="preserve"> the </w:t>
      </w:r>
      <w:r>
        <w:rPr>
          <w:sz w:val="24"/>
          <w:szCs w:val="24"/>
        </w:rPr>
        <w:t>potential cost savings</w:t>
      </w:r>
      <w:r w:rsidRPr="0062406E">
        <w:rPr>
          <w:sz w:val="24"/>
          <w:szCs w:val="24"/>
        </w:rPr>
        <w:t xml:space="preserve"> in treating </w:t>
      </w:r>
      <w:r>
        <w:rPr>
          <w:sz w:val="24"/>
          <w:szCs w:val="24"/>
        </w:rPr>
        <w:t>seven medical</w:t>
      </w:r>
      <w:r w:rsidRPr="0062406E">
        <w:rPr>
          <w:sz w:val="24"/>
          <w:szCs w:val="24"/>
        </w:rPr>
        <w:t xml:space="preserve"> conditions</w:t>
      </w:r>
      <w:r>
        <w:rPr>
          <w:sz w:val="24"/>
          <w:szCs w:val="24"/>
        </w:rPr>
        <w:t xml:space="preserve"> using a Prometheus Payment </w:t>
      </w:r>
      <w:r w:rsidR="00B75081">
        <w:rPr>
          <w:sz w:val="24"/>
          <w:szCs w:val="24"/>
        </w:rPr>
        <w:t xml:space="preserve">Model. </w:t>
      </w:r>
      <w:r>
        <w:rPr>
          <w:sz w:val="24"/>
          <w:szCs w:val="24"/>
        </w:rPr>
        <w:t>In 2009, it estimates that the Commonwealth may have saved $26 million</w:t>
      </w:r>
      <w:r w:rsidR="00B75081">
        <w:rPr>
          <w:sz w:val="24"/>
          <w:szCs w:val="24"/>
        </w:rPr>
        <w:t>,</w:t>
      </w:r>
      <w:r>
        <w:rPr>
          <w:sz w:val="24"/>
          <w:szCs w:val="24"/>
        </w:rPr>
        <w:t xml:space="preserve"> or 12.8</w:t>
      </w:r>
      <w:r w:rsidR="00B75081">
        <w:rPr>
          <w:sz w:val="24"/>
          <w:szCs w:val="24"/>
        </w:rPr>
        <w:t xml:space="preserve">% of payments </w:t>
      </w:r>
      <w:r>
        <w:rPr>
          <w:sz w:val="24"/>
          <w:szCs w:val="24"/>
        </w:rPr>
        <w:t>for these conditions</w:t>
      </w:r>
      <w:r w:rsidR="009C2D9F">
        <w:rPr>
          <w:sz w:val="24"/>
          <w:szCs w:val="24"/>
        </w:rPr>
        <w:t xml:space="preserve"> using this model</w:t>
      </w:r>
      <w:r>
        <w:rPr>
          <w:sz w:val="24"/>
          <w:szCs w:val="24"/>
        </w:rPr>
        <w:t>.</w:t>
      </w:r>
    </w:p>
    <w:p w14:paraId="2AD7EF19" w14:textId="77777777" w:rsidR="000A6927" w:rsidRDefault="007C7F69" w:rsidP="00B75081">
      <w:pPr>
        <w:rPr>
          <w:sz w:val="24"/>
          <w:szCs w:val="24"/>
        </w:rPr>
      </w:pPr>
      <w:r w:rsidRPr="0062406E">
        <w:rPr>
          <w:sz w:val="24"/>
          <w:szCs w:val="24"/>
        </w:rPr>
        <w:t xml:space="preserve">The results </w:t>
      </w:r>
      <w:r w:rsidR="0016758B">
        <w:rPr>
          <w:sz w:val="24"/>
          <w:szCs w:val="24"/>
        </w:rPr>
        <w:t xml:space="preserve">also </w:t>
      </w:r>
      <w:r w:rsidRPr="0062406E">
        <w:rPr>
          <w:sz w:val="24"/>
          <w:szCs w:val="24"/>
        </w:rPr>
        <w:t xml:space="preserve">show a wide variation in the proportion of total </w:t>
      </w:r>
      <w:r w:rsidR="00635CA3">
        <w:rPr>
          <w:sz w:val="24"/>
          <w:szCs w:val="24"/>
        </w:rPr>
        <w:t>cost</w:t>
      </w:r>
      <w:r w:rsidR="00DB7EE2">
        <w:rPr>
          <w:sz w:val="24"/>
          <w:szCs w:val="24"/>
        </w:rPr>
        <w:t>s</w:t>
      </w:r>
      <w:r w:rsidRPr="0062406E">
        <w:rPr>
          <w:sz w:val="24"/>
          <w:szCs w:val="24"/>
        </w:rPr>
        <w:t xml:space="preserve"> attributable to PAC</w:t>
      </w:r>
      <w:r w:rsidR="00DB7EE2">
        <w:rPr>
          <w:sz w:val="24"/>
          <w:szCs w:val="24"/>
        </w:rPr>
        <w:t>s</w:t>
      </w:r>
      <w:r w:rsidRPr="0062406E">
        <w:rPr>
          <w:sz w:val="24"/>
          <w:szCs w:val="24"/>
        </w:rPr>
        <w:t xml:space="preserve"> among</w:t>
      </w:r>
      <w:r w:rsidR="0068633E" w:rsidRPr="0062406E">
        <w:rPr>
          <w:sz w:val="24"/>
          <w:szCs w:val="24"/>
        </w:rPr>
        <w:t xml:space="preserve"> the selected </w:t>
      </w:r>
      <w:r w:rsidR="0016758B">
        <w:rPr>
          <w:sz w:val="24"/>
          <w:szCs w:val="24"/>
        </w:rPr>
        <w:t xml:space="preserve">seven acute and procedural </w:t>
      </w:r>
      <w:r w:rsidR="0068633E" w:rsidRPr="0062406E">
        <w:rPr>
          <w:sz w:val="24"/>
          <w:szCs w:val="24"/>
        </w:rPr>
        <w:t>conditions, ranging</w:t>
      </w:r>
      <w:r w:rsidRPr="0062406E">
        <w:rPr>
          <w:sz w:val="24"/>
          <w:szCs w:val="24"/>
        </w:rPr>
        <w:t xml:space="preserve"> from 13</w:t>
      </w:r>
      <w:r w:rsidR="00B75081">
        <w:rPr>
          <w:sz w:val="24"/>
          <w:szCs w:val="24"/>
        </w:rPr>
        <w:t>%</w:t>
      </w:r>
      <w:r w:rsidRPr="0062406E">
        <w:rPr>
          <w:sz w:val="24"/>
          <w:szCs w:val="24"/>
        </w:rPr>
        <w:t xml:space="preserve"> for </w:t>
      </w:r>
      <w:r w:rsidR="00B75081">
        <w:rPr>
          <w:sz w:val="24"/>
          <w:szCs w:val="24"/>
        </w:rPr>
        <w:t>c</w:t>
      </w:r>
      <w:r w:rsidRPr="0062406E">
        <w:rPr>
          <w:sz w:val="24"/>
          <w:szCs w:val="24"/>
        </w:rPr>
        <w:t>olonoscopy to 36</w:t>
      </w:r>
      <w:r w:rsidR="00B75081">
        <w:rPr>
          <w:sz w:val="24"/>
          <w:szCs w:val="24"/>
        </w:rPr>
        <w:t>%</w:t>
      </w:r>
      <w:r w:rsidRPr="0062406E">
        <w:rPr>
          <w:sz w:val="24"/>
          <w:szCs w:val="24"/>
        </w:rPr>
        <w:t xml:space="preserve"> for </w:t>
      </w:r>
      <w:r w:rsidR="00B75081">
        <w:rPr>
          <w:sz w:val="24"/>
          <w:szCs w:val="24"/>
        </w:rPr>
        <w:t>p</w:t>
      </w:r>
      <w:r w:rsidRPr="0062406E">
        <w:rPr>
          <w:sz w:val="24"/>
          <w:szCs w:val="24"/>
        </w:rPr>
        <w:t xml:space="preserve">neumonia. </w:t>
      </w:r>
      <w:r w:rsidR="006A7037">
        <w:rPr>
          <w:sz w:val="24"/>
          <w:szCs w:val="24"/>
        </w:rPr>
        <w:t>Because savings under bundled payments are largely</w:t>
      </w:r>
      <w:r w:rsidR="000A6927">
        <w:rPr>
          <w:sz w:val="24"/>
          <w:szCs w:val="24"/>
        </w:rPr>
        <w:t xml:space="preserve"> - though not exclusively -</w:t>
      </w:r>
      <w:r w:rsidR="006A7037">
        <w:rPr>
          <w:sz w:val="24"/>
          <w:szCs w:val="24"/>
        </w:rPr>
        <w:t xml:space="preserve"> derived from non-payment for and reduced incidence of PACs, p</w:t>
      </w:r>
      <w:r w:rsidRPr="0062406E">
        <w:rPr>
          <w:sz w:val="24"/>
          <w:szCs w:val="24"/>
        </w:rPr>
        <w:t xml:space="preserve">otential savings also </w:t>
      </w:r>
      <w:r w:rsidR="00DB7EE2" w:rsidRPr="0062406E">
        <w:rPr>
          <w:sz w:val="24"/>
          <w:szCs w:val="24"/>
        </w:rPr>
        <w:t>var</w:t>
      </w:r>
      <w:r w:rsidR="00DB7EE2">
        <w:rPr>
          <w:sz w:val="24"/>
          <w:szCs w:val="24"/>
        </w:rPr>
        <w:t>y</w:t>
      </w:r>
      <w:r w:rsidR="00DB7EE2" w:rsidRPr="0062406E">
        <w:rPr>
          <w:sz w:val="24"/>
          <w:szCs w:val="24"/>
        </w:rPr>
        <w:t xml:space="preserve"> </w:t>
      </w:r>
      <w:r w:rsidR="006A7037">
        <w:rPr>
          <w:sz w:val="24"/>
          <w:szCs w:val="24"/>
        </w:rPr>
        <w:t xml:space="preserve">by condition, </w:t>
      </w:r>
      <w:r w:rsidRPr="0062406E">
        <w:rPr>
          <w:sz w:val="24"/>
          <w:szCs w:val="24"/>
        </w:rPr>
        <w:t>from 0.8</w:t>
      </w:r>
      <w:r w:rsidR="00B75081">
        <w:rPr>
          <w:sz w:val="24"/>
          <w:szCs w:val="24"/>
        </w:rPr>
        <w:t>5%</w:t>
      </w:r>
      <w:r w:rsidRPr="0062406E">
        <w:rPr>
          <w:sz w:val="24"/>
          <w:szCs w:val="24"/>
        </w:rPr>
        <w:t xml:space="preserve"> for </w:t>
      </w:r>
      <w:r w:rsidR="00B75081">
        <w:rPr>
          <w:sz w:val="24"/>
          <w:szCs w:val="24"/>
        </w:rPr>
        <w:t>c</w:t>
      </w:r>
      <w:r w:rsidRPr="0062406E">
        <w:rPr>
          <w:sz w:val="24"/>
          <w:szCs w:val="24"/>
        </w:rPr>
        <w:t>olonoscopy to 44</w:t>
      </w:r>
      <w:r w:rsidR="00B75081">
        <w:rPr>
          <w:sz w:val="24"/>
          <w:szCs w:val="24"/>
        </w:rPr>
        <w:t>%</w:t>
      </w:r>
      <w:r w:rsidRPr="0062406E">
        <w:rPr>
          <w:sz w:val="24"/>
          <w:szCs w:val="24"/>
        </w:rPr>
        <w:t xml:space="preserve"> for CABG</w:t>
      </w:r>
      <w:r w:rsidR="000F5D0D" w:rsidRPr="0062406E">
        <w:rPr>
          <w:sz w:val="24"/>
          <w:szCs w:val="24"/>
        </w:rPr>
        <w:t xml:space="preserve">. </w:t>
      </w:r>
    </w:p>
    <w:p w14:paraId="38FC6A80" w14:textId="77777777" w:rsidR="007E05D1" w:rsidRDefault="007E05D1" w:rsidP="00B75081">
      <w:pPr>
        <w:rPr>
          <w:sz w:val="24"/>
          <w:szCs w:val="24"/>
        </w:rPr>
      </w:pPr>
      <w:r>
        <w:rPr>
          <w:sz w:val="24"/>
          <w:szCs w:val="24"/>
        </w:rPr>
        <w:t xml:space="preserve">Margins and “typical care costs,” two other components of ECR payments, should </w:t>
      </w:r>
      <w:r w:rsidR="00837792">
        <w:rPr>
          <w:sz w:val="24"/>
          <w:szCs w:val="24"/>
        </w:rPr>
        <w:t xml:space="preserve">also </w:t>
      </w:r>
      <w:r>
        <w:rPr>
          <w:sz w:val="24"/>
          <w:szCs w:val="24"/>
        </w:rPr>
        <w:t xml:space="preserve">be considered when determining </w:t>
      </w:r>
      <w:r w:rsidR="00B75081">
        <w:rPr>
          <w:sz w:val="24"/>
          <w:szCs w:val="24"/>
        </w:rPr>
        <w:t xml:space="preserve">a condition’s potential costs. </w:t>
      </w:r>
      <w:r>
        <w:rPr>
          <w:sz w:val="24"/>
          <w:szCs w:val="24"/>
        </w:rPr>
        <w:t xml:space="preserve">As shown in this analysis for </w:t>
      </w:r>
      <w:r w:rsidR="00B75081">
        <w:rPr>
          <w:sz w:val="24"/>
          <w:szCs w:val="24"/>
        </w:rPr>
        <w:t>c</w:t>
      </w:r>
      <w:r>
        <w:rPr>
          <w:sz w:val="24"/>
          <w:szCs w:val="24"/>
        </w:rPr>
        <w:t xml:space="preserve">olonoscopy, these factors can significantly impact </w:t>
      </w:r>
      <w:r w:rsidR="00E60B0D">
        <w:rPr>
          <w:sz w:val="24"/>
          <w:szCs w:val="24"/>
        </w:rPr>
        <w:t xml:space="preserve">the </w:t>
      </w:r>
      <w:r>
        <w:rPr>
          <w:sz w:val="24"/>
          <w:szCs w:val="24"/>
        </w:rPr>
        <w:t>overall savings potential of a condition.</w:t>
      </w:r>
    </w:p>
    <w:p w14:paraId="468E70DD" w14:textId="77777777" w:rsidR="007E05D1" w:rsidRDefault="0016758B" w:rsidP="00B75081">
      <w:pPr>
        <w:rPr>
          <w:sz w:val="24"/>
          <w:szCs w:val="24"/>
        </w:rPr>
      </w:pPr>
      <w:r>
        <w:rPr>
          <w:sz w:val="24"/>
          <w:szCs w:val="24"/>
        </w:rPr>
        <w:t>This</w:t>
      </w:r>
      <w:r w:rsidR="007C7F69" w:rsidRPr="0062406E">
        <w:rPr>
          <w:sz w:val="24"/>
          <w:szCs w:val="24"/>
        </w:rPr>
        <w:t xml:space="preserve"> </w:t>
      </w:r>
      <w:r>
        <w:rPr>
          <w:sz w:val="24"/>
          <w:szCs w:val="24"/>
        </w:rPr>
        <w:t xml:space="preserve">finding </w:t>
      </w:r>
      <w:r w:rsidR="007E454F">
        <w:rPr>
          <w:sz w:val="24"/>
          <w:szCs w:val="24"/>
        </w:rPr>
        <w:t>suggest</w:t>
      </w:r>
      <w:r>
        <w:rPr>
          <w:sz w:val="24"/>
          <w:szCs w:val="24"/>
        </w:rPr>
        <w:t>s</w:t>
      </w:r>
      <w:r w:rsidR="007E454F">
        <w:rPr>
          <w:sz w:val="24"/>
          <w:szCs w:val="24"/>
        </w:rPr>
        <w:t xml:space="preserve"> that</w:t>
      </w:r>
      <w:r w:rsidR="00C223FB">
        <w:rPr>
          <w:sz w:val="24"/>
          <w:szCs w:val="24"/>
        </w:rPr>
        <w:t xml:space="preserve"> </w:t>
      </w:r>
      <w:r>
        <w:rPr>
          <w:sz w:val="24"/>
          <w:szCs w:val="24"/>
        </w:rPr>
        <w:t xml:space="preserve">targeting </w:t>
      </w:r>
      <w:r w:rsidR="005F23CF">
        <w:rPr>
          <w:sz w:val="24"/>
          <w:szCs w:val="24"/>
        </w:rPr>
        <w:t xml:space="preserve">the use of </w:t>
      </w:r>
      <w:r w:rsidR="007E454F">
        <w:rPr>
          <w:sz w:val="24"/>
          <w:szCs w:val="24"/>
        </w:rPr>
        <w:t xml:space="preserve">bundled payments </w:t>
      </w:r>
      <w:r>
        <w:rPr>
          <w:sz w:val="24"/>
          <w:szCs w:val="24"/>
        </w:rPr>
        <w:t xml:space="preserve">methods to </w:t>
      </w:r>
      <w:r w:rsidR="007E454F">
        <w:rPr>
          <w:sz w:val="24"/>
          <w:szCs w:val="24"/>
        </w:rPr>
        <w:t xml:space="preserve">conditions with higher </w:t>
      </w:r>
      <w:r>
        <w:rPr>
          <w:sz w:val="24"/>
          <w:szCs w:val="24"/>
        </w:rPr>
        <w:t xml:space="preserve">proportions </w:t>
      </w:r>
      <w:r w:rsidR="007E454F">
        <w:rPr>
          <w:sz w:val="24"/>
          <w:szCs w:val="24"/>
        </w:rPr>
        <w:t>of PACs</w:t>
      </w:r>
      <w:r w:rsidR="007E05D1">
        <w:rPr>
          <w:sz w:val="24"/>
          <w:szCs w:val="24"/>
        </w:rPr>
        <w:t>, lower margins,</w:t>
      </w:r>
      <w:r w:rsidR="007C7F69" w:rsidRPr="0062406E">
        <w:rPr>
          <w:sz w:val="24"/>
          <w:szCs w:val="24"/>
        </w:rPr>
        <w:t xml:space="preserve"> </w:t>
      </w:r>
      <w:r w:rsidR="000A6927">
        <w:rPr>
          <w:sz w:val="24"/>
          <w:szCs w:val="24"/>
        </w:rPr>
        <w:t xml:space="preserve">and a greater number of episodes of care </w:t>
      </w:r>
      <w:r w:rsidR="00A16173">
        <w:rPr>
          <w:sz w:val="24"/>
          <w:szCs w:val="24"/>
        </w:rPr>
        <w:t xml:space="preserve">may </w:t>
      </w:r>
      <w:r>
        <w:rPr>
          <w:sz w:val="24"/>
          <w:szCs w:val="24"/>
        </w:rPr>
        <w:t xml:space="preserve">generate a higher return in </w:t>
      </w:r>
      <w:r w:rsidR="00A16173">
        <w:rPr>
          <w:sz w:val="24"/>
          <w:szCs w:val="24"/>
        </w:rPr>
        <w:t xml:space="preserve">both </w:t>
      </w:r>
      <w:r>
        <w:rPr>
          <w:sz w:val="24"/>
          <w:szCs w:val="24"/>
        </w:rPr>
        <w:t xml:space="preserve">quality of care </w:t>
      </w:r>
      <w:r w:rsidR="00594D25">
        <w:rPr>
          <w:sz w:val="24"/>
          <w:szCs w:val="24"/>
        </w:rPr>
        <w:t xml:space="preserve">(lower incidence of PACs) </w:t>
      </w:r>
      <w:r w:rsidR="007E05D1">
        <w:rPr>
          <w:sz w:val="24"/>
          <w:szCs w:val="24"/>
        </w:rPr>
        <w:t xml:space="preserve">and potential cost savings for the </w:t>
      </w:r>
      <w:r w:rsidR="00E60B0D">
        <w:rPr>
          <w:sz w:val="24"/>
          <w:szCs w:val="24"/>
        </w:rPr>
        <w:t>Massachusetts health care system</w:t>
      </w:r>
      <w:r w:rsidR="007E05D1">
        <w:rPr>
          <w:sz w:val="24"/>
          <w:szCs w:val="24"/>
        </w:rPr>
        <w:t xml:space="preserve">. </w:t>
      </w:r>
    </w:p>
    <w:p w14:paraId="618CA93F" w14:textId="77777777" w:rsidR="007E05D1" w:rsidRPr="00B75081" w:rsidRDefault="007E05D1" w:rsidP="00B75081">
      <w:pPr>
        <w:jc w:val="both"/>
        <w:rPr>
          <w:b/>
          <w:sz w:val="24"/>
          <w:szCs w:val="24"/>
        </w:rPr>
      </w:pPr>
      <w:r w:rsidRPr="00B75081">
        <w:rPr>
          <w:b/>
          <w:sz w:val="24"/>
          <w:szCs w:val="24"/>
        </w:rPr>
        <w:t>Providers as Risk-Bearers</w:t>
      </w:r>
    </w:p>
    <w:p w14:paraId="6C45C35B" w14:textId="77777777" w:rsidR="00151A66" w:rsidRDefault="00A25C8F" w:rsidP="00B75081">
      <w:pPr>
        <w:rPr>
          <w:sz w:val="24"/>
          <w:szCs w:val="24"/>
        </w:rPr>
      </w:pPr>
      <w:r>
        <w:rPr>
          <w:sz w:val="24"/>
          <w:szCs w:val="24"/>
        </w:rPr>
        <w:t xml:space="preserve">Cost savings </w:t>
      </w:r>
      <w:r w:rsidR="00EE43FB">
        <w:rPr>
          <w:sz w:val="24"/>
          <w:szCs w:val="24"/>
        </w:rPr>
        <w:t>are</w:t>
      </w:r>
      <w:r w:rsidR="00A542E2">
        <w:rPr>
          <w:sz w:val="24"/>
          <w:szCs w:val="24"/>
        </w:rPr>
        <w:t xml:space="preserve"> </w:t>
      </w:r>
      <w:r w:rsidR="00151A66">
        <w:rPr>
          <w:sz w:val="24"/>
          <w:szCs w:val="24"/>
        </w:rPr>
        <w:t xml:space="preserve">primarily </w:t>
      </w:r>
      <w:r w:rsidR="00A542E2">
        <w:rPr>
          <w:sz w:val="24"/>
          <w:szCs w:val="24"/>
        </w:rPr>
        <w:t xml:space="preserve">achieved </w:t>
      </w:r>
      <w:r w:rsidR="00151A66">
        <w:rPr>
          <w:sz w:val="24"/>
          <w:szCs w:val="24"/>
        </w:rPr>
        <w:t xml:space="preserve">in the Prometheus Payment Model </w:t>
      </w:r>
      <w:r w:rsidR="00A542E2">
        <w:rPr>
          <w:sz w:val="24"/>
          <w:szCs w:val="24"/>
        </w:rPr>
        <w:t xml:space="preserve">when </w:t>
      </w:r>
      <w:r w:rsidR="00357691">
        <w:rPr>
          <w:sz w:val="24"/>
          <w:szCs w:val="24"/>
        </w:rPr>
        <w:t>a share of the identified PAC costs is</w:t>
      </w:r>
      <w:r w:rsidR="00A542E2">
        <w:rPr>
          <w:sz w:val="24"/>
          <w:szCs w:val="24"/>
        </w:rPr>
        <w:t xml:space="preserve"> </w:t>
      </w:r>
      <w:r>
        <w:rPr>
          <w:sz w:val="24"/>
          <w:szCs w:val="24"/>
        </w:rPr>
        <w:t xml:space="preserve">no longer </w:t>
      </w:r>
      <w:r w:rsidR="00A542E2">
        <w:rPr>
          <w:sz w:val="24"/>
          <w:szCs w:val="24"/>
        </w:rPr>
        <w:t xml:space="preserve">reimbursed by payers. </w:t>
      </w:r>
      <w:r w:rsidR="00151A66">
        <w:rPr>
          <w:sz w:val="24"/>
          <w:szCs w:val="24"/>
        </w:rPr>
        <w:t xml:space="preserve">The share that continues to be reimbursed, the PAC </w:t>
      </w:r>
      <w:r w:rsidR="00B75081">
        <w:rPr>
          <w:sz w:val="24"/>
          <w:szCs w:val="24"/>
        </w:rPr>
        <w:t>a</w:t>
      </w:r>
      <w:r w:rsidR="00151A66">
        <w:rPr>
          <w:sz w:val="24"/>
          <w:szCs w:val="24"/>
        </w:rPr>
        <w:t>llowance, is a rate negotiat</w:t>
      </w:r>
      <w:r w:rsidR="00B75081">
        <w:rPr>
          <w:sz w:val="24"/>
          <w:szCs w:val="24"/>
        </w:rPr>
        <w:t xml:space="preserve">ed between payer and provider. </w:t>
      </w:r>
      <w:r w:rsidR="00151A66">
        <w:rPr>
          <w:sz w:val="24"/>
          <w:szCs w:val="24"/>
        </w:rPr>
        <w:t xml:space="preserve">This proportion will remain a component of </w:t>
      </w:r>
      <w:r w:rsidR="009C2D9F">
        <w:rPr>
          <w:sz w:val="24"/>
          <w:szCs w:val="24"/>
        </w:rPr>
        <w:t>an</w:t>
      </w:r>
      <w:r w:rsidR="00151A66">
        <w:rPr>
          <w:sz w:val="24"/>
          <w:szCs w:val="24"/>
        </w:rPr>
        <w:t xml:space="preserve"> ECR budget for providers, regardless of whether or not PACs occur.</w:t>
      </w:r>
      <w:r w:rsidR="009C2D9F">
        <w:rPr>
          <w:sz w:val="24"/>
          <w:szCs w:val="24"/>
        </w:rPr>
        <w:t xml:space="preserve"> </w:t>
      </w:r>
      <w:r w:rsidR="001410E2">
        <w:rPr>
          <w:sz w:val="24"/>
          <w:szCs w:val="24"/>
        </w:rPr>
        <w:t xml:space="preserve">Providers that incur lower PAC costs </w:t>
      </w:r>
      <w:r w:rsidR="00151A66">
        <w:rPr>
          <w:sz w:val="24"/>
          <w:szCs w:val="24"/>
        </w:rPr>
        <w:t>keep the full budgeted amount.</w:t>
      </w:r>
      <w:r w:rsidR="00B75081">
        <w:rPr>
          <w:sz w:val="24"/>
          <w:szCs w:val="24"/>
        </w:rPr>
        <w:t xml:space="preserve"> </w:t>
      </w:r>
      <w:r w:rsidR="00E6448E" w:rsidRPr="0062406E">
        <w:rPr>
          <w:sz w:val="24"/>
          <w:szCs w:val="24"/>
        </w:rPr>
        <w:t xml:space="preserve">Providers </w:t>
      </w:r>
      <w:r w:rsidR="006A7037">
        <w:rPr>
          <w:sz w:val="24"/>
          <w:szCs w:val="24"/>
        </w:rPr>
        <w:t>that incur</w:t>
      </w:r>
      <w:r w:rsidR="00586A39" w:rsidRPr="0062406E">
        <w:rPr>
          <w:sz w:val="24"/>
          <w:szCs w:val="24"/>
        </w:rPr>
        <w:t xml:space="preserve"> PAC </w:t>
      </w:r>
      <w:r w:rsidR="00E6448E" w:rsidRPr="0062406E">
        <w:rPr>
          <w:sz w:val="24"/>
          <w:szCs w:val="24"/>
        </w:rPr>
        <w:t>cost</w:t>
      </w:r>
      <w:r w:rsidR="00586A39" w:rsidRPr="0062406E">
        <w:rPr>
          <w:sz w:val="24"/>
          <w:szCs w:val="24"/>
        </w:rPr>
        <w:t>s</w:t>
      </w:r>
      <w:r w:rsidR="00E6448E" w:rsidRPr="0062406E">
        <w:rPr>
          <w:sz w:val="24"/>
          <w:szCs w:val="24"/>
        </w:rPr>
        <w:t xml:space="preserve"> </w:t>
      </w:r>
      <w:r w:rsidR="006A7037">
        <w:rPr>
          <w:sz w:val="24"/>
          <w:szCs w:val="24"/>
        </w:rPr>
        <w:t>greater</w:t>
      </w:r>
      <w:r w:rsidR="006A7037" w:rsidRPr="0062406E">
        <w:rPr>
          <w:sz w:val="24"/>
          <w:szCs w:val="24"/>
        </w:rPr>
        <w:t xml:space="preserve"> </w:t>
      </w:r>
      <w:r w:rsidR="00E6448E" w:rsidRPr="0062406E">
        <w:rPr>
          <w:sz w:val="24"/>
          <w:szCs w:val="24"/>
        </w:rPr>
        <w:t xml:space="preserve">than the budgeted PAC allowance </w:t>
      </w:r>
      <w:r w:rsidR="001410E2">
        <w:rPr>
          <w:sz w:val="24"/>
          <w:szCs w:val="24"/>
        </w:rPr>
        <w:t>must</w:t>
      </w:r>
      <w:r w:rsidR="00D27BB6">
        <w:rPr>
          <w:sz w:val="24"/>
          <w:szCs w:val="24"/>
        </w:rPr>
        <w:t xml:space="preserve"> </w:t>
      </w:r>
      <w:r w:rsidR="00E6448E" w:rsidRPr="0062406E">
        <w:rPr>
          <w:sz w:val="24"/>
          <w:szCs w:val="24"/>
        </w:rPr>
        <w:t>absorb the deficit.</w:t>
      </w:r>
      <w:r w:rsidR="000F5D0D" w:rsidRPr="0062406E">
        <w:rPr>
          <w:sz w:val="24"/>
          <w:szCs w:val="24"/>
        </w:rPr>
        <w:t xml:space="preserve"> </w:t>
      </w:r>
    </w:p>
    <w:p w14:paraId="4B64625C" w14:textId="77777777" w:rsidR="00151A66" w:rsidRDefault="00151A66" w:rsidP="00B75081">
      <w:pPr>
        <w:rPr>
          <w:sz w:val="24"/>
          <w:szCs w:val="24"/>
        </w:rPr>
      </w:pPr>
      <w:r w:rsidRPr="0062406E">
        <w:rPr>
          <w:sz w:val="24"/>
          <w:szCs w:val="24"/>
        </w:rPr>
        <w:lastRenderedPageBreak/>
        <w:t xml:space="preserve">For example, among the conditions analyzed in this report, the PAC allowance </w:t>
      </w:r>
      <w:r>
        <w:rPr>
          <w:sz w:val="24"/>
          <w:szCs w:val="24"/>
        </w:rPr>
        <w:t xml:space="preserve">for CABG </w:t>
      </w:r>
      <w:r w:rsidRPr="0062406E">
        <w:rPr>
          <w:sz w:val="24"/>
          <w:szCs w:val="24"/>
        </w:rPr>
        <w:t xml:space="preserve">was $12,405 per ECR. If a provider treats a CABG episode without incurring any </w:t>
      </w:r>
      <w:r>
        <w:rPr>
          <w:sz w:val="24"/>
          <w:szCs w:val="24"/>
        </w:rPr>
        <w:t>PAC</w:t>
      </w:r>
      <w:r w:rsidRPr="0062406E">
        <w:rPr>
          <w:sz w:val="24"/>
          <w:szCs w:val="24"/>
        </w:rPr>
        <w:t xml:space="preserve"> costs, the provider can retain the entire budgeted $12,405 PAC </w:t>
      </w:r>
      <w:r w:rsidR="009C2D9F">
        <w:rPr>
          <w:sz w:val="24"/>
          <w:szCs w:val="24"/>
        </w:rPr>
        <w:t>a</w:t>
      </w:r>
      <w:r w:rsidRPr="0062406E">
        <w:rPr>
          <w:sz w:val="24"/>
          <w:szCs w:val="24"/>
        </w:rPr>
        <w:t xml:space="preserve">llowance. </w:t>
      </w:r>
      <w:r w:rsidR="00B75081">
        <w:rPr>
          <w:sz w:val="24"/>
          <w:szCs w:val="24"/>
        </w:rPr>
        <w:t>Conversely</w:t>
      </w:r>
      <w:r w:rsidRPr="0062406E">
        <w:rPr>
          <w:sz w:val="24"/>
          <w:szCs w:val="24"/>
        </w:rPr>
        <w:t xml:space="preserve">, if a provider incurs $20,000 </w:t>
      </w:r>
      <w:r>
        <w:rPr>
          <w:sz w:val="24"/>
          <w:szCs w:val="24"/>
        </w:rPr>
        <w:t xml:space="preserve">in PAC </w:t>
      </w:r>
      <w:r w:rsidRPr="0062406E">
        <w:rPr>
          <w:sz w:val="24"/>
          <w:szCs w:val="24"/>
        </w:rPr>
        <w:t xml:space="preserve">costs during the course of a CABG episode, </w:t>
      </w:r>
      <w:r>
        <w:rPr>
          <w:sz w:val="24"/>
          <w:szCs w:val="24"/>
        </w:rPr>
        <w:t>it</w:t>
      </w:r>
      <w:r w:rsidRPr="0062406E">
        <w:rPr>
          <w:sz w:val="24"/>
          <w:szCs w:val="24"/>
        </w:rPr>
        <w:t xml:space="preserve"> will be reimbursed </w:t>
      </w:r>
      <w:r>
        <w:rPr>
          <w:sz w:val="24"/>
          <w:szCs w:val="24"/>
        </w:rPr>
        <w:t xml:space="preserve">only </w:t>
      </w:r>
      <w:r w:rsidRPr="0062406E">
        <w:rPr>
          <w:sz w:val="24"/>
          <w:szCs w:val="24"/>
        </w:rPr>
        <w:t>$12,405</w:t>
      </w:r>
      <w:r>
        <w:rPr>
          <w:sz w:val="24"/>
          <w:szCs w:val="24"/>
        </w:rPr>
        <w:t xml:space="preserve"> and pay the difference</w:t>
      </w:r>
      <w:r w:rsidRPr="0062406E">
        <w:rPr>
          <w:sz w:val="24"/>
          <w:szCs w:val="24"/>
        </w:rPr>
        <w:t>.</w:t>
      </w:r>
    </w:p>
    <w:p w14:paraId="651E3744" w14:textId="77777777" w:rsidR="00151A66" w:rsidRDefault="00B75081" w:rsidP="00B75081">
      <w:pPr>
        <w:rPr>
          <w:sz w:val="24"/>
          <w:szCs w:val="24"/>
        </w:rPr>
      </w:pPr>
      <w:r>
        <w:rPr>
          <w:sz w:val="24"/>
          <w:szCs w:val="24"/>
        </w:rPr>
        <w:t xml:space="preserve">This creates an </w:t>
      </w:r>
      <w:r w:rsidR="00151A66">
        <w:rPr>
          <w:sz w:val="24"/>
          <w:szCs w:val="24"/>
        </w:rPr>
        <w:t xml:space="preserve">incentive for providers to reduce unnecessary costs through coordinated, </w:t>
      </w:r>
      <w:r w:rsidR="00E60B0D">
        <w:rPr>
          <w:sz w:val="24"/>
          <w:szCs w:val="24"/>
        </w:rPr>
        <w:t xml:space="preserve">comprehensive, episode-focused </w:t>
      </w:r>
      <w:r w:rsidR="00151A66">
        <w:rPr>
          <w:sz w:val="24"/>
          <w:szCs w:val="24"/>
        </w:rPr>
        <w:t xml:space="preserve">care, </w:t>
      </w:r>
      <w:r w:rsidR="00F57974">
        <w:rPr>
          <w:sz w:val="24"/>
          <w:szCs w:val="24"/>
        </w:rPr>
        <w:t xml:space="preserve">which </w:t>
      </w:r>
      <w:r w:rsidR="00151A66">
        <w:rPr>
          <w:sz w:val="24"/>
          <w:szCs w:val="24"/>
        </w:rPr>
        <w:t xml:space="preserve">could result in system cost savings </w:t>
      </w:r>
      <w:r w:rsidR="00F57974">
        <w:rPr>
          <w:sz w:val="24"/>
          <w:szCs w:val="24"/>
        </w:rPr>
        <w:t xml:space="preserve">and </w:t>
      </w:r>
      <w:r w:rsidR="00151A66">
        <w:rPr>
          <w:sz w:val="24"/>
          <w:szCs w:val="24"/>
        </w:rPr>
        <w:t>impact future consumer premiums.</w:t>
      </w:r>
      <w:bookmarkStart w:id="1" w:name="_GoBack"/>
      <w:bookmarkEnd w:id="1"/>
    </w:p>
    <w:p w14:paraId="533B0F5B" w14:textId="77777777" w:rsidR="00151A66" w:rsidRPr="00B75081" w:rsidRDefault="00F17A86" w:rsidP="00B75081">
      <w:pPr>
        <w:jc w:val="both"/>
        <w:rPr>
          <w:b/>
          <w:sz w:val="24"/>
          <w:szCs w:val="24"/>
        </w:rPr>
      </w:pPr>
      <w:r w:rsidRPr="00B75081">
        <w:rPr>
          <w:b/>
          <w:sz w:val="24"/>
          <w:szCs w:val="24"/>
        </w:rPr>
        <w:t xml:space="preserve">ECR Potential to </w:t>
      </w:r>
      <w:r w:rsidR="00151A66" w:rsidRPr="00B75081">
        <w:rPr>
          <w:b/>
          <w:sz w:val="24"/>
          <w:szCs w:val="24"/>
        </w:rPr>
        <w:t>Reduce Price Variation</w:t>
      </w:r>
    </w:p>
    <w:p w14:paraId="1BC9063B" w14:textId="77777777" w:rsidR="00F17A86" w:rsidRPr="00FF0882" w:rsidRDefault="00B75081" w:rsidP="00B75081">
      <w:pPr>
        <w:rPr>
          <w:sz w:val="24"/>
          <w:szCs w:val="24"/>
        </w:rPr>
      </w:pPr>
      <w:r>
        <w:rPr>
          <w:sz w:val="24"/>
          <w:szCs w:val="24"/>
        </w:rPr>
        <w:t>ECRs</w:t>
      </w:r>
      <w:r w:rsidR="00FF0882">
        <w:rPr>
          <w:sz w:val="24"/>
          <w:szCs w:val="24"/>
        </w:rPr>
        <w:t xml:space="preserve"> </w:t>
      </w:r>
      <w:r>
        <w:rPr>
          <w:sz w:val="24"/>
          <w:szCs w:val="24"/>
        </w:rPr>
        <w:t>that are derived from actual claims data</w:t>
      </w:r>
      <w:r w:rsidR="008B3A51">
        <w:rPr>
          <w:sz w:val="24"/>
          <w:szCs w:val="24"/>
        </w:rPr>
        <w:t xml:space="preserve"> can </w:t>
      </w:r>
      <w:r w:rsidR="000021B5">
        <w:rPr>
          <w:sz w:val="24"/>
          <w:szCs w:val="24"/>
        </w:rPr>
        <w:t>provide a foundation</w:t>
      </w:r>
      <w:r>
        <w:rPr>
          <w:sz w:val="24"/>
          <w:szCs w:val="24"/>
        </w:rPr>
        <w:t xml:space="preserve"> for</w:t>
      </w:r>
      <w:r w:rsidR="00E60B0D">
        <w:rPr>
          <w:sz w:val="24"/>
          <w:szCs w:val="24"/>
        </w:rPr>
        <w:t xml:space="preserve"> </w:t>
      </w:r>
      <w:r>
        <w:rPr>
          <w:sz w:val="24"/>
          <w:szCs w:val="24"/>
        </w:rPr>
        <w:t xml:space="preserve">price </w:t>
      </w:r>
      <w:r w:rsidR="00E60B0D">
        <w:rPr>
          <w:sz w:val="24"/>
          <w:szCs w:val="24"/>
        </w:rPr>
        <w:t>transparency</w:t>
      </w:r>
      <w:r>
        <w:rPr>
          <w:sz w:val="24"/>
          <w:szCs w:val="24"/>
        </w:rPr>
        <w:t>.</w:t>
      </w:r>
      <w:r w:rsidR="00FF0882">
        <w:rPr>
          <w:sz w:val="24"/>
          <w:szCs w:val="24"/>
        </w:rPr>
        <w:t xml:space="preserve"> </w:t>
      </w:r>
      <w:r w:rsidR="00B371D9" w:rsidRPr="00F17A86">
        <w:rPr>
          <w:sz w:val="24"/>
          <w:szCs w:val="24"/>
        </w:rPr>
        <w:t xml:space="preserve">Once an ECR is established, the amounts </w:t>
      </w:r>
      <w:r w:rsidR="00F17A86" w:rsidRPr="00F17A86">
        <w:rPr>
          <w:sz w:val="24"/>
          <w:szCs w:val="24"/>
        </w:rPr>
        <w:t xml:space="preserve">budgeted </w:t>
      </w:r>
      <w:r w:rsidR="00B371D9" w:rsidRPr="00F17A86">
        <w:rPr>
          <w:sz w:val="24"/>
          <w:szCs w:val="24"/>
        </w:rPr>
        <w:t xml:space="preserve">for typical care and PAC </w:t>
      </w:r>
      <w:r>
        <w:rPr>
          <w:sz w:val="24"/>
          <w:szCs w:val="24"/>
        </w:rPr>
        <w:t>a</w:t>
      </w:r>
      <w:r w:rsidR="00B371D9" w:rsidRPr="00F17A86">
        <w:rPr>
          <w:sz w:val="24"/>
          <w:szCs w:val="24"/>
        </w:rPr>
        <w:t>llowance</w:t>
      </w:r>
      <w:r w:rsidR="00FF0882">
        <w:rPr>
          <w:sz w:val="24"/>
          <w:szCs w:val="24"/>
        </w:rPr>
        <w:t>s</w:t>
      </w:r>
      <w:r w:rsidR="00B371D9" w:rsidRPr="00F17A86">
        <w:rPr>
          <w:sz w:val="24"/>
          <w:szCs w:val="24"/>
        </w:rPr>
        <w:t xml:space="preserve"> </w:t>
      </w:r>
      <w:r w:rsidR="00F17A86">
        <w:rPr>
          <w:sz w:val="24"/>
          <w:szCs w:val="24"/>
        </w:rPr>
        <w:t>have the potential to be</w:t>
      </w:r>
      <w:r w:rsidR="00B371D9" w:rsidRPr="00F17A86">
        <w:rPr>
          <w:sz w:val="24"/>
          <w:szCs w:val="24"/>
        </w:rPr>
        <w:t xml:space="preserve"> fixed </w:t>
      </w:r>
      <w:r w:rsidR="00D65159" w:rsidRPr="00F17A86">
        <w:rPr>
          <w:sz w:val="24"/>
          <w:szCs w:val="24"/>
        </w:rPr>
        <w:t xml:space="preserve">for </w:t>
      </w:r>
      <w:r w:rsidR="00B371D9" w:rsidRPr="00F17A86">
        <w:rPr>
          <w:sz w:val="24"/>
          <w:szCs w:val="24"/>
        </w:rPr>
        <w:t>all pro</w:t>
      </w:r>
      <w:r w:rsidR="00F17A86">
        <w:rPr>
          <w:sz w:val="24"/>
          <w:szCs w:val="24"/>
        </w:rPr>
        <w:t>vi</w:t>
      </w:r>
      <w:r w:rsidR="00FF0882">
        <w:rPr>
          <w:sz w:val="24"/>
          <w:szCs w:val="24"/>
        </w:rPr>
        <w:t>ders within a payer’s network. T</w:t>
      </w:r>
      <w:r w:rsidR="00F17A86">
        <w:rPr>
          <w:sz w:val="24"/>
          <w:szCs w:val="24"/>
        </w:rPr>
        <w:t>hese set values</w:t>
      </w:r>
      <w:r w:rsidR="00FF0882">
        <w:rPr>
          <w:sz w:val="24"/>
          <w:szCs w:val="24"/>
        </w:rPr>
        <w:t xml:space="preserve"> </w:t>
      </w:r>
      <w:r w:rsidR="00F17A86">
        <w:rPr>
          <w:sz w:val="24"/>
          <w:szCs w:val="24"/>
        </w:rPr>
        <w:t xml:space="preserve">can </w:t>
      </w:r>
      <w:r>
        <w:rPr>
          <w:sz w:val="24"/>
          <w:szCs w:val="24"/>
        </w:rPr>
        <w:t>then</w:t>
      </w:r>
      <w:r w:rsidR="00F17A86">
        <w:rPr>
          <w:sz w:val="24"/>
          <w:szCs w:val="24"/>
        </w:rPr>
        <w:t xml:space="preserve"> provide </w:t>
      </w:r>
      <w:r w:rsidR="00B371D9" w:rsidRPr="00F17A86">
        <w:rPr>
          <w:sz w:val="24"/>
          <w:szCs w:val="24"/>
        </w:rPr>
        <w:t xml:space="preserve">a </w:t>
      </w:r>
      <w:r w:rsidR="008401BB">
        <w:rPr>
          <w:sz w:val="24"/>
          <w:szCs w:val="24"/>
        </w:rPr>
        <w:t xml:space="preserve">price </w:t>
      </w:r>
      <w:r w:rsidR="00B371D9" w:rsidRPr="00F17A86">
        <w:rPr>
          <w:sz w:val="24"/>
          <w:szCs w:val="24"/>
        </w:rPr>
        <w:t xml:space="preserve">baseline </w:t>
      </w:r>
      <w:r w:rsidR="00F57974">
        <w:rPr>
          <w:sz w:val="24"/>
          <w:szCs w:val="24"/>
        </w:rPr>
        <w:t>for the</w:t>
      </w:r>
      <w:r w:rsidR="00F57974" w:rsidRPr="00F17A86">
        <w:rPr>
          <w:sz w:val="24"/>
          <w:szCs w:val="24"/>
        </w:rPr>
        <w:t xml:space="preserve"> </w:t>
      </w:r>
      <w:r w:rsidR="00F57974">
        <w:rPr>
          <w:sz w:val="24"/>
          <w:szCs w:val="24"/>
        </w:rPr>
        <w:t>treatment of</w:t>
      </w:r>
      <w:r w:rsidR="00F57974" w:rsidRPr="00F17A86">
        <w:rPr>
          <w:sz w:val="24"/>
          <w:szCs w:val="24"/>
        </w:rPr>
        <w:t xml:space="preserve"> </w:t>
      </w:r>
      <w:r w:rsidR="00F57974">
        <w:rPr>
          <w:sz w:val="24"/>
          <w:szCs w:val="24"/>
        </w:rPr>
        <w:t>certain</w:t>
      </w:r>
      <w:r w:rsidR="00F57974" w:rsidRPr="00F17A86">
        <w:rPr>
          <w:sz w:val="24"/>
          <w:szCs w:val="24"/>
        </w:rPr>
        <w:t xml:space="preserve"> episode</w:t>
      </w:r>
      <w:r w:rsidR="00F57974">
        <w:rPr>
          <w:sz w:val="24"/>
          <w:szCs w:val="24"/>
        </w:rPr>
        <w:t>s</w:t>
      </w:r>
      <w:r w:rsidR="00F57974" w:rsidRPr="00F17A86">
        <w:rPr>
          <w:sz w:val="24"/>
          <w:szCs w:val="24"/>
        </w:rPr>
        <w:t xml:space="preserve"> of care </w:t>
      </w:r>
      <w:r w:rsidR="00B371D9" w:rsidRPr="00F17A86">
        <w:rPr>
          <w:sz w:val="24"/>
          <w:szCs w:val="24"/>
        </w:rPr>
        <w:t xml:space="preserve">for </w:t>
      </w:r>
      <w:r w:rsidR="00F17A86">
        <w:rPr>
          <w:sz w:val="24"/>
          <w:szCs w:val="24"/>
        </w:rPr>
        <w:t>other payers</w:t>
      </w:r>
      <w:r w:rsidR="00B371D9" w:rsidRPr="008401BB">
        <w:rPr>
          <w:sz w:val="24"/>
          <w:szCs w:val="24"/>
        </w:rPr>
        <w:t xml:space="preserve">. </w:t>
      </w:r>
      <w:r w:rsidR="008401BB" w:rsidRPr="008401BB">
        <w:rPr>
          <w:sz w:val="24"/>
          <w:szCs w:val="24"/>
        </w:rPr>
        <w:t xml:space="preserve">Greater price transparency and more standardized baseline prices may </w:t>
      </w:r>
      <w:r w:rsidRPr="008401BB">
        <w:rPr>
          <w:sz w:val="24"/>
          <w:szCs w:val="24"/>
        </w:rPr>
        <w:t xml:space="preserve">lead to </w:t>
      </w:r>
      <w:r w:rsidR="008401BB" w:rsidRPr="008401BB">
        <w:rPr>
          <w:sz w:val="24"/>
          <w:szCs w:val="24"/>
        </w:rPr>
        <w:t>a</w:t>
      </w:r>
      <w:r w:rsidRPr="008401BB">
        <w:rPr>
          <w:sz w:val="24"/>
          <w:szCs w:val="24"/>
        </w:rPr>
        <w:t xml:space="preserve"> reduction in health care price variation</w:t>
      </w:r>
      <w:r w:rsidR="008401BB">
        <w:rPr>
          <w:sz w:val="24"/>
          <w:szCs w:val="24"/>
        </w:rPr>
        <w:t>.</w:t>
      </w:r>
    </w:p>
    <w:p w14:paraId="0A00B5B1" w14:textId="77777777" w:rsidR="00F17A86" w:rsidRPr="00B75081" w:rsidRDefault="00F34BA5" w:rsidP="00B75081">
      <w:pPr>
        <w:jc w:val="both"/>
        <w:rPr>
          <w:b/>
          <w:sz w:val="24"/>
          <w:szCs w:val="24"/>
        </w:rPr>
      </w:pPr>
      <w:r w:rsidRPr="00B75081">
        <w:rPr>
          <w:b/>
          <w:sz w:val="24"/>
          <w:szCs w:val="24"/>
        </w:rPr>
        <w:t>Additional Savings Possible with Considerat</w:t>
      </w:r>
      <w:r w:rsidR="00B75081">
        <w:rPr>
          <w:b/>
          <w:sz w:val="24"/>
          <w:szCs w:val="24"/>
        </w:rPr>
        <w:t>ion of</w:t>
      </w:r>
      <w:r w:rsidR="00F17A86" w:rsidRPr="00B75081">
        <w:rPr>
          <w:b/>
          <w:sz w:val="24"/>
          <w:szCs w:val="24"/>
        </w:rPr>
        <w:t xml:space="preserve"> Additional Conditions and </w:t>
      </w:r>
      <w:r w:rsidRPr="00B75081">
        <w:rPr>
          <w:b/>
          <w:sz w:val="24"/>
          <w:szCs w:val="24"/>
        </w:rPr>
        <w:t>Payers</w:t>
      </w:r>
    </w:p>
    <w:p w14:paraId="5846F9E0" w14:textId="77777777" w:rsidR="00E6448E" w:rsidRDefault="005F23CF" w:rsidP="00B75081">
      <w:pPr>
        <w:rPr>
          <w:sz w:val="24"/>
          <w:szCs w:val="24"/>
        </w:rPr>
      </w:pPr>
      <w:r w:rsidRPr="00F34BA5">
        <w:rPr>
          <w:sz w:val="24"/>
          <w:szCs w:val="24"/>
        </w:rPr>
        <w:t>T</w:t>
      </w:r>
      <w:r w:rsidR="00782099" w:rsidRPr="00F34BA5">
        <w:rPr>
          <w:sz w:val="24"/>
          <w:szCs w:val="24"/>
        </w:rPr>
        <w:t xml:space="preserve">otal </w:t>
      </w:r>
      <w:r w:rsidR="00F34BA5">
        <w:rPr>
          <w:sz w:val="24"/>
          <w:szCs w:val="24"/>
        </w:rPr>
        <w:t xml:space="preserve">potential </w:t>
      </w:r>
      <w:r w:rsidR="000021B5" w:rsidRPr="00F34BA5">
        <w:rPr>
          <w:sz w:val="24"/>
          <w:szCs w:val="24"/>
        </w:rPr>
        <w:t xml:space="preserve">savings </w:t>
      </w:r>
      <w:r w:rsidRPr="00F34BA5">
        <w:rPr>
          <w:sz w:val="24"/>
          <w:szCs w:val="24"/>
        </w:rPr>
        <w:t xml:space="preserve">to the Massachusetts health care system </w:t>
      </w:r>
      <w:r w:rsidR="009C2D9F">
        <w:rPr>
          <w:sz w:val="24"/>
          <w:szCs w:val="24"/>
        </w:rPr>
        <w:t>may be</w:t>
      </w:r>
      <w:r w:rsidR="009C2D9F" w:rsidRPr="00F34BA5">
        <w:rPr>
          <w:sz w:val="24"/>
          <w:szCs w:val="24"/>
        </w:rPr>
        <w:t xml:space="preserve"> </w:t>
      </w:r>
      <w:r w:rsidR="00F34BA5">
        <w:rPr>
          <w:sz w:val="24"/>
          <w:szCs w:val="24"/>
        </w:rPr>
        <w:t xml:space="preserve">greater than that amount expressed in this report. This report focuses exclusively on seven conditions </w:t>
      </w:r>
      <w:r w:rsidR="00F57974">
        <w:rPr>
          <w:sz w:val="24"/>
          <w:szCs w:val="24"/>
        </w:rPr>
        <w:t xml:space="preserve">and the </w:t>
      </w:r>
      <w:r w:rsidR="00F34BA5">
        <w:rPr>
          <w:sz w:val="24"/>
          <w:szCs w:val="24"/>
        </w:rPr>
        <w:t xml:space="preserve">costs </w:t>
      </w:r>
      <w:r w:rsidR="00F57974">
        <w:rPr>
          <w:sz w:val="24"/>
          <w:szCs w:val="24"/>
        </w:rPr>
        <w:t>attributed to</w:t>
      </w:r>
      <w:r w:rsidR="00F34BA5">
        <w:rPr>
          <w:sz w:val="24"/>
          <w:szCs w:val="24"/>
        </w:rPr>
        <w:t xml:space="preserve"> three payers. </w:t>
      </w:r>
      <w:r w:rsidR="001410E2">
        <w:rPr>
          <w:sz w:val="24"/>
          <w:szCs w:val="24"/>
        </w:rPr>
        <w:t xml:space="preserve">Potential savings </w:t>
      </w:r>
      <w:r w:rsidR="008B3A51">
        <w:rPr>
          <w:sz w:val="24"/>
          <w:szCs w:val="24"/>
        </w:rPr>
        <w:t>may</w:t>
      </w:r>
      <w:r w:rsidR="00E6448E" w:rsidRPr="0062406E">
        <w:rPr>
          <w:sz w:val="24"/>
          <w:szCs w:val="24"/>
        </w:rPr>
        <w:t xml:space="preserve"> be </w:t>
      </w:r>
      <w:r w:rsidR="00FF0882">
        <w:rPr>
          <w:sz w:val="24"/>
          <w:szCs w:val="24"/>
        </w:rPr>
        <w:t>greater</w:t>
      </w:r>
      <w:r w:rsidR="00E6448E" w:rsidRPr="0062406E">
        <w:rPr>
          <w:sz w:val="24"/>
          <w:szCs w:val="24"/>
        </w:rPr>
        <w:t xml:space="preserve"> if payment bundling </w:t>
      </w:r>
      <w:r w:rsidR="001410E2">
        <w:rPr>
          <w:sz w:val="24"/>
          <w:szCs w:val="24"/>
        </w:rPr>
        <w:t>is</w:t>
      </w:r>
      <w:r w:rsidR="001410E2" w:rsidRPr="0062406E">
        <w:rPr>
          <w:sz w:val="24"/>
          <w:szCs w:val="24"/>
        </w:rPr>
        <w:t xml:space="preserve"> </w:t>
      </w:r>
      <w:r w:rsidR="00E6448E" w:rsidRPr="0062406E">
        <w:rPr>
          <w:sz w:val="24"/>
          <w:szCs w:val="24"/>
        </w:rPr>
        <w:t>expanded to more conditions.</w:t>
      </w:r>
      <w:r w:rsidR="000F5D0D" w:rsidRPr="0062406E">
        <w:rPr>
          <w:rStyle w:val="FootnoteReference"/>
          <w:sz w:val="24"/>
          <w:szCs w:val="24"/>
        </w:rPr>
        <w:footnoteReference w:id="22"/>
      </w:r>
      <w:r w:rsidR="00E6448E" w:rsidRPr="0062406E">
        <w:rPr>
          <w:sz w:val="24"/>
          <w:szCs w:val="24"/>
        </w:rPr>
        <w:t xml:space="preserve"> System cost savings would </w:t>
      </w:r>
      <w:r w:rsidR="008B3A51">
        <w:rPr>
          <w:sz w:val="24"/>
          <w:szCs w:val="24"/>
        </w:rPr>
        <w:t xml:space="preserve">also </w:t>
      </w:r>
      <w:r w:rsidR="00C348A6">
        <w:rPr>
          <w:sz w:val="24"/>
          <w:szCs w:val="24"/>
        </w:rPr>
        <w:t xml:space="preserve">likely </w:t>
      </w:r>
      <w:r w:rsidR="00E6448E" w:rsidRPr="0062406E">
        <w:rPr>
          <w:sz w:val="24"/>
          <w:szCs w:val="24"/>
        </w:rPr>
        <w:t xml:space="preserve">be </w:t>
      </w:r>
      <w:r w:rsidR="00C348A6">
        <w:rPr>
          <w:sz w:val="24"/>
          <w:szCs w:val="24"/>
        </w:rPr>
        <w:t xml:space="preserve">more </w:t>
      </w:r>
      <w:r w:rsidR="00E6448E" w:rsidRPr="0062406E">
        <w:rPr>
          <w:sz w:val="24"/>
          <w:szCs w:val="24"/>
        </w:rPr>
        <w:t xml:space="preserve">substantial if all payers </w:t>
      </w:r>
      <w:r w:rsidR="00C348A6">
        <w:rPr>
          <w:sz w:val="24"/>
          <w:szCs w:val="24"/>
        </w:rPr>
        <w:t>were</w:t>
      </w:r>
      <w:r w:rsidR="00E6448E" w:rsidRPr="0062406E">
        <w:rPr>
          <w:sz w:val="24"/>
          <w:szCs w:val="24"/>
        </w:rPr>
        <w:t xml:space="preserve"> to adopt </w:t>
      </w:r>
      <w:r w:rsidR="00C348A6">
        <w:rPr>
          <w:sz w:val="24"/>
          <w:szCs w:val="24"/>
        </w:rPr>
        <w:t xml:space="preserve">a </w:t>
      </w:r>
      <w:r w:rsidR="00E6448E" w:rsidRPr="0062406E">
        <w:rPr>
          <w:sz w:val="24"/>
          <w:szCs w:val="24"/>
        </w:rPr>
        <w:t>bundled payment methodology for suitable conditions.</w:t>
      </w:r>
    </w:p>
    <w:p w14:paraId="35ECF785" w14:textId="77777777" w:rsidR="009C2D9F" w:rsidRPr="004B49D9" w:rsidRDefault="009C2D9F" w:rsidP="006E2DCF">
      <w:pPr>
        <w:jc w:val="both"/>
        <w:rPr>
          <w:b/>
          <w:sz w:val="24"/>
          <w:szCs w:val="24"/>
        </w:rPr>
      </w:pPr>
      <w:r w:rsidRPr="004B49D9">
        <w:rPr>
          <w:b/>
          <w:sz w:val="24"/>
          <w:szCs w:val="24"/>
        </w:rPr>
        <w:t>Opportunities for Further Research</w:t>
      </w:r>
    </w:p>
    <w:p w14:paraId="5EE0676E" w14:textId="77777777" w:rsidR="00A264EB" w:rsidRDefault="009C2D9F" w:rsidP="00B75081">
      <w:pPr>
        <w:rPr>
          <w:sz w:val="24"/>
          <w:szCs w:val="24"/>
        </w:rPr>
      </w:pPr>
      <w:r>
        <w:rPr>
          <w:sz w:val="24"/>
          <w:szCs w:val="24"/>
        </w:rPr>
        <w:t>T</w:t>
      </w:r>
      <w:r w:rsidRPr="0062406E">
        <w:rPr>
          <w:sz w:val="24"/>
          <w:szCs w:val="24"/>
        </w:rPr>
        <w:t xml:space="preserve">his report does not </w:t>
      </w:r>
      <w:r>
        <w:rPr>
          <w:sz w:val="24"/>
          <w:szCs w:val="24"/>
        </w:rPr>
        <w:t>address</w:t>
      </w:r>
      <w:r w:rsidRPr="0062406E">
        <w:rPr>
          <w:sz w:val="24"/>
          <w:szCs w:val="24"/>
        </w:rPr>
        <w:t xml:space="preserve"> how provider behavior </w:t>
      </w:r>
      <w:r>
        <w:rPr>
          <w:sz w:val="24"/>
          <w:szCs w:val="24"/>
        </w:rPr>
        <w:t>may change</w:t>
      </w:r>
      <w:r w:rsidRPr="0062406E">
        <w:rPr>
          <w:sz w:val="24"/>
          <w:szCs w:val="24"/>
        </w:rPr>
        <w:t xml:space="preserve"> in response to </w:t>
      </w:r>
      <w:r>
        <w:rPr>
          <w:sz w:val="24"/>
          <w:szCs w:val="24"/>
        </w:rPr>
        <w:t>bundled payments or any other</w:t>
      </w:r>
      <w:r w:rsidRPr="0062406E">
        <w:rPr>
          <w:sz w:val="24"/>
          <w:szCs w:val="24"/>
        </w:rPr>
        <w:t xml:space="preserve"> alternative payment method. Further research is need</w:t>
      </w:r>
      <w:r>
        <w:rPr>
          <w:sz w:val="24"/>
          <w:szCs w:val="24"/>
        </w:rPr>
        <w:t>ed</w:t>
      </w:r>
      <w:r w:rsidRPr="0062406E">
        <w:rPr>
          <w:sz w:val="24"/>
          <w:szCs w:val="24"/>
        </w:rPr>
        <w:t xml:space="preserve"> to examine </w:t>
      </w:r>
      <w:r>
        <w:rPr>
          <w:sz w:val="24"/>
          <w:szCs w:val="24"/>
        </w:rPr>
        <w:t xml:space="preserve">whether and </w:t>
      </w:r>
      <w:r w:rsidRPr="0062406E">
        <w:rPr>
          <w:sz w:val="24"/>
          <w:szCs w:val="24"/>
        </w:rPr>
        <w:t>how bundled payments can align incentives for providers to collaborate across settings, enhance care coordination, and improve efficiency and quality of care.</w:t>
      </w:r>
      <w:r w:rsidR="00A264EB">
        <w:rPr>
          <w:sz w:val="24"/>
          <w:szCs w:val="24"/>
        </w:rPr>
        <w:br w:type="page"/>
      </w:r>
    </w:p>
    <w:p w14:paraId="61ECD70D" w14:textId="77777777" w:rsidR="0087698D" w:rsidRPr="00B95EA5" w:rsidRDefault="0087698D" w:rsidP="0087698D">
      <w:pPr>
        <w:spacing w:after="0"/>
        <w:jc w:val="both"/>
        <w:rPr>
          <w:b/>
          <w:sz w:val="32"/>
          <w:szCs w:val="32"/>
        </w:rPr>
      </w:pPr>
      <w:r w:rsidRPr="0062406E">
        <w:rPr>
          <w:b/>
          <w:sz w:val="32"/>
          <w:szCs w:val="32"/>
        </w:rPr>
        <w:lastRenderedPageBreak/>
        <w:t>Acknowledgement</w:t>
      </w:r>
      <w:r>
        <w:rPr>
          <w:b/>
          <w:sz w:val="32"/>
          <w:szCs w:val="32"/>
        </w:rPr>
        <w:t>s</w:t>
      </w:r>
    </w:p>
    <w:p w14:paraId="560303BC" w14:textId="77777777" w:rsidR="0087698D" w:rsidRDefault="0087698D" w:rsidP="0087698D">
      <w:pPr>
        <w:rPr>
          <w:sz w:val="24"/>
          <w:szCs w:val="24"/>
        </w:rPr>
      </w:pPr>
      <w:r w:rsidRPr="0062406E">
        <w:rPr>
          <w:sz w:val="24"/>
          <w:szCs w:val="24"/>
        </w:rPr>
        <w:t xml:space="preserve">Technical assistance for the Prometheus Payment Model </w:t>
      </w:r>
      <w:r>
        <w:rPr>
          <w:sz w:val="24"/>
          <w:szCs w:val="24"/>
        </w:rPr>
        <w:t>was</w:t>
      </w:r>
      <w:r w:rsidRPr="0062406E">
        <w:rPr>
          <w:sz w:val="24"/>
          <w:szCs w:val="24"/>
        </w:rPr>
        <w:t xml:space="preserve"> provided by Francois de Brantes</w:t>
      </w:r>
      <w:r>
        <w:rPr>
          <w:sz w:val="24"/>
          <w:szCs w:val="24"/>
        </w:rPr>
        <w:t>, Stacey Eccleston,</w:t>
      </w:r>
      <w:r w:rsidRPr="0062406E">
        <w:rPr>
          <w:sz w:val="24"/>
          <w:szCs w:val="24"/>
        </w:rPr>
        <w:t xml:space="preserve"> and Jenna Costley of Health Care Incentives Improvement Institute.</w:t>
      </w:r>
      <w:r w:rsidR="00F57974" w:rsidRPr="00F57974">
        <w:rPr>
          <w:sz w:val="24"/>
          <w:szCs w:val="24"/>
        </w:rPr>
        <w:t xml:space="preserve"> </w:t>
      </w:r>
      <w:r w:rsidR="00F57974" w:rsidRPr="0062406E">
        <w:rPr>
          <w:sz w:val="24"/>
          <w:szCs w:val="24"/>
        </w:rPr>
        <w:t xml:space="preserve">The </w:t>
      </w:r>
      <w:r w:rsidR="00F57974">
        <w:rPr>
          <w:sz w:val="24"/>
          <w:szCs w:val="24"/>
        </w:rPr>
        <w:t>simulation</w:t>
      </w:r>
      <w:r w:rsidR="00F57974" w:rsidRPr="0062406E">
        <w:rPr>
          <w:sz w:val="24"/>
          <w:szCs w:val="24"/>
        </w:rPr>
        <w:t xml:space="preserve"> </w:t>
      </w:r>
      <w:r w:rsidR="00F57974">
        <w:rPr>
          <w:sz w:val="24"/>
          <w:szCs w:val="24"/>
        </w:rPr>
        <w:t>was</w:t>
      </w:r>
      <w:r w:rsidR="00F57974" w:rsidRPr="0062406E">
        <w:rPr>
          <w:sz w:val="24"/>
          <w:szCs w:val="24"/>
        </w:rPr>
        <w:t xml:space="preserve"> conducted by Ariel Klein.</w:t>
      </w:r>
    </w:p>
    <w:p w14:paraId="4CB3205B" w14:textId="77777777" w:rsidR="0087698D" w:rsidRDefault="0087698D" w:rsidP="0087698D">
      <w:pPr>
        <w:rPr>
          <w:sz w:val="24"/>
          <w:szCs w:val="24"/>
        </w:rPr>
      </w:pPr>
      <w:r>
        <w:rPr>
          <w:sz w:val="24"/>
          <w:szCs w:val="24"/>
        </w:rPr>
        <w:t xml:space="preserve">Primary Center staff for this report: </w:t>
      </w:r>
    </w:p>
    <w:p w14:paraId="0EED33D4" w14:textId="77777777" w:rsidR="0087698D" w:rsidRDefault="0087698D" w:rsidP="0087698D">
      <w:pPr>
        <w:rPr>
          <w:sz w:val="24"/>
          <w:szCs w:val="24"/>
        </w:rPr>
      </w:pPr>
      <w:r>
        <w:rPr>
          <w:sz w:val="24"/>
          <w:szCs w:val="24"/>
        </w:rPr>
        <w:t>Po-Yu Lai, Director of Health System Finance</w:t>
      </w:r>
    </w:p>
    <w:p w14:paraId="3CEA0DA7" w14:textId="77777777" w:rsidR="0087698D" w:rsidRDefault="0087698D" w:rsidP="0087698D">
      <w:pPr>
        <w:rPr>
          <w:sz w:val="24"/>
          <w:szCs w:val="24"/>
        </w:rPr>
      </w:pPr>
      <w:r>
        <w:rPr>
          <w:sz w:val="24"/>
          <w:szCs w:val="24"/>
        </w:rPr>
        <w:t xml:space="preserve">Cristi Carman, Senior Health Policy Analyst </w:t>
      </w:r>
    </w:p>
    <w:p w14:paraId="7A1A9E00" w14:textId="77777777" w:rsidR="0087698D" w:rsidRPr="0062406E" w:rsidRDefault="0087698D" w:rsidP="0087698D">
      <w:pPr>
        <w:rPr>
          <w:sz w:val="24"/>
          <w:szCs w:val="24"/>
        </w:rPr>
      </w:pPr>
      <w:r>
        <w:rPr>
          <w:sz w:val="24"/>
          <w:szCs w:val="24"/>
        </w:rPr>
        <w:t>Kevin McAvey, Senior Health Policy Analyst</w:t>
      </w:r>
    </w:p>
    <w:p w14:paraId="6A2C5A23" w14:textId="77777777" w:rsidR="0087698D" w:rsidRDefault="0087698D" w:rsidP="00B75081">
      <w:pPr>
        <w:rPr>
          <w:b/>
          <w:sz w:val="32"/>
          <w:szCs w:val="32"/>
        </w:rPr>
      </w:pPr>
    </w:p>
    <w:p w14:paraId="7CC291F0" w14:textId="77777777" w:rsidR="00204249" w:rsidRDefault="00204249" w:rsidP="00B75081">
      <w:pPr>
        <w:rPr>
          <w:b/>
          <w:sz w:val="32"/>
          <w:szCs w:val="32"/>
        </w:rPr>
      </w:pPr>
    </w:p>
    <w:p w14:paraId="4F65A643" w14:textId="77777777" w:rsidR="00204249" w:rsidRDefault="00204249" w:rsidP="00B75081">
      <w:pPr>
        <w:rPr>
          <w:b/>
          <w:sz w:val="32"/>
          <w:szCs w:val="32"/>
        </w:rPr>
      </w:pPr>
    </w:p>
    <w:p w14:paraId="09A83EC5" w14:textId="77777777" w:rsidR="00204249" w:rsidRDefault="00204249" w:rsidP="00B75081">
      <w:pPr>
        <w:rPr>
          <w:b/>
          <w:sz w:val="32"/>
          <w:szCs w:val="32"/>
        </w:rPr>
      </w:pPr>
    </w:p>
    <w:p w14:paraId="3D942FB1" w14:textId="4C77669F" w:rsidR="00204249" w:rsidRPr="00E973DC" w:rsidRDefault="00204249" w:rsidP="00204249">
      <w:pPr>
        <w:spacing w:after="0"/>
        <w:rPr>
          <w:rFonts w:asciiTheme="majorHAnsi" w:hAnsiTheme="majorHAnsi"/>
          <w:b/>
        </w:rPr>
      </w:pPr>
      <w:r>
        <w:rPr>
          <w:rFonts w:asciiTheme="majorHAnsi" w:hAnsiTheme="majorHAnsi"/>
          <w:b/>
        </w:rPr>
        <w:t>Report on Bundled Payments, Volume 2</w:t>
      </w:r>
    </w:p>
    <w:p w14:paraId="78F66055" w14:textId="77777777" w:rsidR="00204249" w:rsidRPr="00E973DC" w:rsidRDefault="00204249" w:rsidP="00204249">
      <w:pPr>
        <w:spacing w:after="0"/>
        <w:rPr>
          <w:rFonts w:asciiTheme="majorHAnsi" w:hAnsiTheme="majorHAnsi"/>
          <w:b/>
        </w:rPr>
      </w:pPr>
    </w:p>
    <w:p w14:paraId="1EDA9537" w14:textId="77777777" w:rsidR="00204249" w:rsidRPr="00E973DC" w:rsidRDefault="00204249" w:rsidP="00204249">
      <w:pPr>
        <w:spacing w:after="0"/>
        <w:rPr>
          <w:rFonts w:asciiTheme="majorHAnsi" w:hAnsiTheme="majorHAnsi"/>
          <w:b/>
        </w:rPr>
      </w:pPr>
      <w:r w:rsidRPr="00E973DC">
        <w:rPr>
          <w:rFonts w:asciiTheme="majorHAnsi" w:hAnsiTheme="majorHAnsi"/>
          <w:b/>
        </w:rPr>
        <w:t>August 2013</w:t>
      </w:r>
    </w:p>
    <w:p w14:paraId="429B2E08" w14:textId="77777777" w:rsidR="00204249" w:rsidRPr="00E973DC" w:rsidRDefault="00204249" w:rsidP="00204249">
      <w:pPr>
        <w:spacing w:after="0"/>
        <w:rPr>
          <w:rFonts w:asciiTheme="majorHAnsi" w:hAnsiTheme="majorHAnsi"/>
        </w:rPr>
      </w:pPr>
    </w:p>
    <w:p w14:paraId="5641B495" w14:textId="77777777" w:rsidR="00204249" w:rsidRPr="00E973DC" w:rsidRDefault="00204249" w:rsidP="00204249">
      <w:pPr>
        <w:spacing w:after="0"/>
        <w:rPr>
          <w:rFonts w:asciiTheme="majorHAnsi" w:hAnsiTheme="majorHAnsi"/>
        </w:rPr>
      </w:pPr>
    </w:p>
    <w:p w14:paraId="31B9A381" w14:textId="77777777" w:rsidR="00204249" w:rsidRPr="00E973DC" w:rsidRDefault="00204249" w:rsidP="00204249">
      <w:pPr>
        <w:spacing w:after="0"/>
        <w:rPr>
          <w:rFonts w:asciiTheme="majorHAnsi" w:hAnsiTheme="majorHAnsi"/>
          <w:b/>
        </w:rPr>
      </w:pPr>
      <w:r w:rsidRPr="00E973DC">
        <w:rPr>
          <w:rFonts w:asciiTheme="majorHAnsi" w:hAnsiTheme="majorHAnsi"/>
          <w:b/>
        </w:rPr>
        <w:t>Center for Health Information and Analysis</w:t>
      </w:r>
    </w:p>
    <w:p w14:paraId="39C24A81" w14:textId="77777777" w:rsidR="00204249" w:rsidRPr="00E973DC" w:rsidRDefault="00204249" w:rsidP="00204249">
      <w:pPr>
        <w:spacing w:after="0"/>
        <w:rPr>
          <w:rFonts w:asciiTheme="majorHAnsi" w:hAnsiTheme="majorHAnsi"/>
          <w:b/>
        </w:rPr>
      </w:pPr>
      <w:r w:rsidRPr="00E973DC">
        <w:rPr>
          <w:rFonts w:asciiTheme="majorHAnsi" w:hAnsiTheme="majorHAnsi"/>
          <w:b/>
        </w:rPr>
        <w:t>Two Boylston Street</w:t>
      </w:r>
    </w:p>
    <w:p w14:paraId="6DB10B01" w14:textId="77777777" w:rsidR="00204249" w:rsidRPr="00E973DC" w:rsidRDefault="00204249" w:rsidP="00204249">
      <w:pPr>
        <w:spacing w:after="0"/>
        <w:rPr>
          <w:rFonts w:asciiTheme="majorHAnsi" w:hAnsiTheme="majorHAnsi"/>
          <w:b/>
        </w:rPr>
      </w:pPr>
      <w:r w:rsidRPr="00E973DC">
        <w:rPr>
          <w:rFonts w:asciiTheme="majorHAnsi" w:hAnsiTheme="majorHAnsi"/>
          <w:b/>
        </w:rPr>
        <w:t>Boston, Massachusetts 02116</w:t>
      </w:r>
    </w:p>
    <w:p w14:paraId="3C0024E4" w14:textId="77777777" w:rsidR="00204249" w:rsidRPr="00E973DC" w:rsidRDefault="00204249" w:rsidP="00204249">
      <w:pPr>
        <w:spacing w:after="0"/>
        <w:rPr>
          <w:rFonts w:asciiTheme="majorHAnsi" w:hAnsiTheme="majorHAnsi"/>
          <w:b/>
        </w:rPr>
      </w:pPr>
    </w:p>
    <w:p w14:paraId="6C941EA9" w14:textId="77777777" w:rsidR="00204249" w:rsidRPr="00E973DC" w:rsidRDefault="00204249" w:rsidP="00204249">
      <w:pPr>
        <w:spacing w:after="0"/>
        <w:rPr>
          <w:rFonts w:asciiTheme="majorHAnsi" w:hAnsiTheme="majorHAnsi"/>
          <w:b/>
        </w:rPr>
      </w:pPr>
      <w:r w:rsidRPr="00E973DC">
        <w:rPr>
          <w:rFonts w:asciiTheme="majorHAnsi" w:hAnsiTheme="majorHAnsi"/>
          <w:b/>
        </w:rPr>
        <w:t>Phone:</w:t>
      </w:r>
      <w:r w:rsidRPr="00E973DC">
        <w:rPr>
          <w:rFonts w:asciiTheme="majorHAnsi" w:hAnsiTheme="majorHAnsi"/>
          <w:b/>
        </w:rPr>
        <w:tab/>
        <w:t>(617) 988-3100</w:t>
      </w:r>
    </w:p>
    <w:p w14:paraId="09691F73" w14:textId="77777777" w:rsidR="00204249" w:rsidRPr="00E973DC" w:rsidRDefault="00204249" w:rsidP="00204249">
      <w:pPr>
        <w:spacing w:after="0"/>
        <w:rPr>
          <w:rFonts w:asciiTheme="majorHAnsi" w:hAnsiTheme="majorHAnsi"/>
          <w:b/>
        </w:rPr>
      </w:pPr>
      <w:r w:rsidRPr="00E973DC">
        <w:rPr>
          <w:rFonts w:asciiTheme="majorHAnsi" w:hAnsiTheme="majorHAnsi"/>
          <w:b/>
        </w:rPr>
        <w:t>Fax:</w:t>
      </w:r>
      <w:r w:rsidRPr="00E973DC">
        <w:rPr>
          <w:rFonts w:asciiTheme="majorHAnsi" w:hAnsiTheme="majorHAnsi"/>
          <w:b/>
        </w:rPr>
        <w:tab/>
        <w:t>(617) 727-7662</w:t>
      </w:r>
    </w:p>
    <w:p w14:paraId="20E8418A" w14:textId="77777777" w:rsidR="00204249" w:rsidRPr="00E973DC" w:rsidRDefault="00204249" w:rsidP="00204249">
      <w:pPr>
        <w:spacing w:after="0"/>
        <w:rPr>
          <w:rFonts w:asciiTheme="majorHAnsi" w:hAnsiTheme="majorHAnsi"/>
          <w:b/>
        </w:rPr>
      </w:pPr>
    </w:p>
    <w:p w14:paraId="09271EE8" w14:textId="77777777" w:rsidR="00204249" w:rsidRPr="00E973DC" w:rsidRDefault="00204249" w:rsidP="00204249">
      <w:pPr>
        <w:spacing w:after="0"/>
        <w:rPr>
          <w:rFonts w:asciiTheme="majorHAnsi" w:hAnsiTheme="majorHAnsi"/>
          <w:b/>
        </w:rPr>
      </w:pPr>
      <w:r w:rsidRPr="00E973DC">
        <w:rPr>
          <w:rFonts w:asciiTheme="majorHAnsi" w:hAnsiTheme="majorHAnsi"/>
          <w:b/>
        </w:rPr>
        <w:t>Website:  www.mass.gov/chia</w:t>
      </w:r>
    </w:p>
    <w:p w14:paraId="3CD9609B" w14:textId="77777777" w:rsidR="00204249" w:rsidRPr="00E973DC" w:rsidRDefault="00204249" w:rsidP="00204249">
      <w:pPr>
        <w:spacing w:after="0"/>
        <w:rPr>
          <w:rFonts w:asciiTheme="majorHAnsi" w:hAnsiTheme="majorHAnsi"/>
          <w:b/>
        </w:rPr>
      </w:pPr>
    </w:p>
    <w:p w14:paraId="7A5BE83B" w14:textId="06C9BB0C" w:rsidR="00204249" w:rsidRPr="00E973DC" w:rsidRDefault="00204249" w:rsidP="00204249">
      <w:pPr>
        <w:spacing w:after="0"/>
        <w:rPr>
          <w:rFonts w:asciiTheme="majorHAnsi" w:hAnsiTheme="majorHAnsi"/>
          <w:b/>
        </w:rPr>
      </w:pPr>
      <w:r w:rsidRPr="00E973DC">
        <w:rPr>
          <w:rFonts w:asciiTheme="majorHAnsi" w:hAnsiTheme="majorHAnsi"/>
          <w:b/>
        </w:rPr>
        <w:t>Pu</w:t>
      </w:r>
      <w:r>
        <w:rPr>
          <w:rFonts w:asciiTheme="majorHAnsi" w:hAnsiTheme="majorHAnsi"/>
          <w:b/>
        </w:rPr>
        <w:t xml:space="preserve">blication Number:  </w:t>
      </w:r>
      <w:r w:rsidRPr="00F66EFD">
        <w:rPr>
          <w:rFonts w:asciiTheme="majorHAnsi" w:hAnsiTheme="majorHAnsi"/>
          <w:b/>
        </w:rPr>
        <w:t>13-2</w:t>
      </w:r>
      <w:r>
        <w:rPr>
          <w:rFonts w:asciiTheme="majorHAnsi" w:hAnsiTheme="majorHAnsi"/>
          <w:b/>
        </w:rPr>
        <w:t>38-CHIA-02</w:t>
      </w:r>
    </w:p>
    <w:p w14:paraId="32E91C0A" w14:textId="77777777" w:rsidR="00204249" w:rsidRPr="00E973DC" w:rsidRDefault="00204249" w:rsidP="00204249">
      <w:pPr>
        <w:spacing w:after="0"/>
        <w:rPr>
          <w:rFonts w:asciiTheme="majorHAnsi" w:hAnsiTheme="majorHAnsi"/>
        </w:rPr>
      </w:pPr>
      <w:r w:rsidRPr="00E973DC">
        <w:rPr>
          <w:rFonts w:asciiTheme="majorHAnsi" w:hAnsiTheme="majorHAnsi"/>
          <w:b/>
        </w:rPr>
        <w:t>Authorized by Gary Lambert, State Purchasing Agent</w:t>
      </w:r>
    </w:p>
    <w:p w14:paraId="33E5882C" w14:textId="77777777" w:rsidR="00204249" w:rsidRPr="00E973DC" w:rsidRDefault="00204249" w:rsidP="00204249">
      <w:pPr>
        <w:spacing w:after="0"/>
        <w:rPr>
          <w:rFonts w:asciiTheme="majorHAnsi" w:hAnsiTheme="majorHAnsi"/>
        </w:rPr>
      </w:pPr>
    </w:p>
    <w:p w14:paraId="5261F1EE" w14:textId="07A5BFFA" w:rsidR="0087698D" w:rsidRDefault="00204249" w:rsidP="00204249">
      <w:pPr>
        <w:rPr>
          <w:b/>
          <w:sz w:val="32"/>
          <w:szCs w:val="32"/>
        </w:rPr>
      </w:pPr>
      <w:r w:rsidRPr="00E973DC">
        <w:rPr>
          <w:rFonts w:asciiTheme="majorHAnsi" w:hAnsiTheme="majorHAnsi"/>
          <w:i/>
        </w:rPr>
        <w:t>The PDF of the fully-formatted, print version of this report is available on the CHIA website</w:t>
      </w:r>
    </w:p>
    <w:p w14:paraId="128B1AE5" w14:textId="77777777" w:rsidR="0087698D" w:rsidRDefault="0087698D" w:rsidP="00B75081">
      <w:pPr>
        <w:rPr>
          <w:b/>
          <w:sz w:val="32"/>
          <w:szCs w:val="32"/>
        </w:rPr>
      </w:pPr>
    </w:p>
    <w:p w14:paraId="7D937816" w14:textId="77777777" w:rsidR="00134AB3" w:rsidRPr="0062406E" w:rsidRDefault="00287CE1" w:rsidP="00B75081">
      <w:pPr>
        <w:rPr>
          <w:b/>
          <w:sz w:val="32"/>
          <w:szCs w:val="32"/>
        </w:rPr>
      </w:pPr>
      <w:r>
        <w:rPr>
          <w:b/>
          <w:sz w:val="32"/>
          <w:szCs w:val="32"/>
        </w:rPr>
        <w:lastRenderedPageBreak/>
        <w:t>Technical Appendix</w:t>
      </w:r>
    </w:p>
    <w:p w14:paraId="1D72ED57" w14:textId="77777777" w:rsidR="00134AB3" w:rsidRPr="0062406E" w:rsidRDefault="00134AB3" w:rsidP="00B75081">
      <w:pPr>
        <w:rPr>
          <w:sz w:val="24"/>
          <w:szCs w:val="24"/>
        </w:rPr>
      </w:pPr>
      <w:r w:rsidRPr="0062406E">
        <w:rPr>
          <w:sz w:val="24"/>
          <w:szCs w:val="24"/>
        </w:rPr>
        <w:t>Estimation of Prometheus ECR rates was performed using health plan data on member eligibility, medical claims, and pharmacy claims submitted to the Massachusetts Health Care Quality and Cost Council and the Division of Health Care Finance and Policy. Data from three private carriers</w:t>
      </w:r>
      <w:r w:rsidR="00095C16">
        <w:rPr>
          <w:sz w:val="24"/>
          <w:szCs w:val="24"/>
        </w:rPr>
        <w:t>,</w:t>
      </w:r>
      <w:r w:rsidRPr="0062406E">
        <w:rPr>
          <w:sz w:val="24"/>
          <w:szCs w:val="24"/>
        </w:rPr>
        <w:t xml:space="preserve"> representing approximately 65</w:t>
      </w:r>
      <w:r w:rsidR="008401BB">
        <w:rPr>
          <w:sz w:val="24"/>
          <w:szCs w:val="24"/>
        </w:rPr>
        <w:t>%</w:t>
      </w:r>
      <w:r w:rsidRPr="0062406E">
        <w:rPr>
          <w:sz w:val="24"/>
          <w:szCs w:val="24"/>
        </w:rPr>
        <w:t xml:space="preserve"> of the </w:t>
      </w:r>
      <w:r w:rsidR="00B91953" w:rsidRPr="0062406E">
        <w:rPr>
          <w:sz w:val="24"/>
          <w:szCs w:val="24"/>
        </w:rPr>
        <w:t>commercially insured</w:t>
      </w:r>
      <w:r w:rsidR="00B91953">
        <w:rPr>
          <w:sz w:val="24"/>
          <w:szCs w:val="24"/>
        </w:rPr>
        <w:t xml:space="preserve"> </w:t>
      </w:r>
      <w:r w:rsidRPr="0062406E">
        <w:rPr>
          <w:sz w:val="24"/>
          <w:szCs w:val="24"/>
        </w:rPr>
        <w:t>market</w:t>
      </w:r>
      <w:r w:rsidR="00095C16">
        <w:rPr>
          <w:sz w:val="24"/>
          <w:szCs w:val="24"/>
        </w:rPr>
        <w:t>,</w:t>
      </w:r>
      <w:r w:rsidR="00C6749A">
        <w:rPr>
          <w:sz w:val="24"/>
          <w:szCs w:val="24"/>
        </w:rPr>
        <w:t xml:space="preserve"> </w:t>
      </w:r>
      <w:r w:rsidR="00782099">
        <w:rPr>
          <w:sz w:val="24"/>
          <w:szCs w:val="24"/>
        </w:rPr>
        <w:t>were</w:t>
      </w:r>
      <w:r w:rsidR="00782099" w:rsidRPr="0062406E">
        <w:rPr>
          <w:sz w:val="24"/>
          <w:szCs w:val="24"/>
        </w:rPr>
        <w:t xml:space="preserve"> </w:t>
      </w:r>
      <w:r w:rsidR="00C6749A" w:rsidRPr="0062406E">
        <w:rPr>
          <w:sz w:val="24"/>
          <w:szCs w:val="24"/>
        </w:rPr>
        <w:t>analy</w:t>
      </w:r>
      <w:r w:rsidR="00C6749A">
        <w:rPr>
          <w:sz w:val="24"/>
          <w:szCs w:val="24"/>
        </w:rPr>
        <w:t>zed</w:t>
      </w:r>
      <w:r w:rsidRPr="0062406E">
        <w:rPr>
          <w:sz w:val="24"/>
          <w:szCs w:val="24"/>
        </w:rPr>
        <w:t>.</w:t>
      </w:r>
      <w:r w:rsidRPr="0062406E">
        <w:rPr>
          <w:rStyle w:val="FootnoteReference"/>
          <w:sz w:val="24"/>
          <w:szCs w:val="24"/>
        </w:rPr>
        <w:footnoteReference w:id="23"/>
      </w:r>
      <w:r w:rsidRPr="0062406E">
        <w:rPr>
          <w:sz w:val="24"/>
          <w:szCs w:val="24"/>
        </w:rPr>
        <w:t xml:space="preserve"> </w:t>
      </w:r>
      <w:r w:rsidR="00D65159">
        <w:rPr>
          <w:sz w:val="24"/>
          <w:szCs w:val="24"/>
        </w:rPr>
        <w:t>The</w:t>
      </w:r>
      <w:r w:rsidRPr="0062406E">
        <w:rPr>
          <w:sz w:val="24"/>
          <w:szCs w:val="24"/>
        </w:rPr>
        <w:t xml:space="preserve"> analysis </w:t>
      </w:r>
      <w:r w:rsidR="00D65159">
        <w:rPr>
          <w:sz w:val="24"/>
          <w:szCs w:val="24"/>
        </w:rPr>
        <w:t xml:space="preserve">was limited </w:t>
      </w:r>
      <w:r w:rsidRPr="0062406E">
        <w:rPr>
          <w:sz w:val="24"/>
          <w:szCs w:val="24"/>
        </w:rPr>
        <w:t xml:space="preserve">to Massachusetts residents </w:t>
      </w:r>
      <w:r w:rsidR="00C6749A">
        <w:rPr>
          <w:sz w:val="24"/>
          <w:szCs w:val="24"/>
        </w:rPr>
        <w:t xml:space="preserve">who </w:t>
      </w:r>
      <w:r w:rsidR="00C6749A" w:rsidRPr="0062406E">
        <w:rPr>
          <w:sz w:val="24"/>
          <w:szCs w:val="24"/>
        </w:rPr>
        <w:t>hav</w:t>
      </w:r>
      <w:r w:rsidR="00C6749A">
        <w:rPr>
          <w:sz w:val="24"/>
          <w:szCs w:val="24"/>
        </w:rPr>
        <w:t>e</w:t>
      </w:r>
      <w:r w:rsidR="00C6749A" w:rsidRPr="0062406E">
        <w:rPr>
          <w:sz w:val="24"/>
          <w:szCs w:val="24"/>
        </w:rPr>
        <w:t xml:space="preserve"> </w:t>
      </w:r>
      <w:r w:rsidRPr="0062406E">
        <w:rPr>
          <w:sz w:val="24"/>
          <w:szCs w:val="24"/>
        </w:rPr>
        <w:t>both medical and prescription drug coverage through an employer or through the private, non-group market. Members in Medicare Advantage or Medicaid managed care were excluded from</w:t>
      </w:r>
      <w:r w:rsidR="00C6749A">
        <w:rPr>
          <w:sz w:val="24"/>
          <w:szCs w:val="24"/>
        </w:rPr>
        <w:t xml:space="preserve"> this</w:t>
      </w:r>
      <w:r w:rsidRPr="0062406E">
        <w:rPr>
          <w:sz w:val="24"/>
          <w:szCs w:val="24"/>
        </w:rPr>
        <w:t xml:space="preserve"> analysis.  </w:t>
      </w:r>
    </w:p>
    <w:p w14:paraId="5D07D422" w14:textId="77777777" w:rsidR="00134AB3" w:rsidRPr="0062406E" w:rsidRDefault="00D65159" w:rsidP="00B75081">
      <w:pPr>
        <w:rPr>
          <w:sz w:val="24"/>
          <w:szCs w:val="24"/>
        </w:rPr>
      </w:pPr>
      <w:r>
        <w:rPr>
          <w:sz w:val="24"/>
          <w:szCs w:val="24"/>
        </w:rPr>
        <w:t>The a</w:t>
      </w:r>
      <w:r w:rsidR="00134AB3" w:rsidRPr="0062406E">
        <w:rPr>
          <w:sz w:val="24"/>
          <w:szCs w:val="24"/>
        </w:rPr>
        <w:t xml:space="preserve">nalysis incorporated eligibility records for members covered for any time during January through December 2009, as well as any medical claims or pharmacy claims incurred during that period. Eligibility data used in </w:t>
      </w:r>
      <w:r>
        <w:rPr>
          <w:sz w:val="24"/>
          <w:szCs w:val="24"/>
        </w:rPr>
        <w:t xml:space="preserve">the </w:t>
      </w:r>
      <w:r w:rsidR="00134AB3" w:rsidRPr="0062406E">
        <w:rPr>
          <w:sz w:val="24"/>
          <w:szCs w:val="24"/>
        </w:rPr>
        <w:t>analysis came entirely from files submitted by health plans in 2009, while medical claims and pharmacy claims files submitted in 2009 and continuing through mid-2010 for services rendered in 2009. In order to ensure that spending estimates would be accurate and readily interpreted, members with any capitated claims during that period</w:t>
      </w:r>
      <w:r w:rsidR="00357691">
        <w:rPr>
          <w:sz w:val="24"/>
          <w:szCs w:val="24"/>
        </w:rPr>
        <w:t xml:space="preserve"> were excluded</w:t>
      </w:r>
      <w:r w:rsidR="00134AB3" w:rsidRPr="0062406E">
        <w:rPr>
          <w:sz w:val="24"/>
          <w:szCs w:val="24"/>
        </w:rPr>
        <w:t>. An encrypted unique member identifier was used to link eligibility and claims records. In cases where multiple versions of a given claim were present in the dataset, only the final version was retained. After these data cleaning and sample limitation steps</w:t>
      </w:r>
      <w:r w:rsidR="00C6749A">
        <w:rPr>
          <w:sz w:val="24"/>
          <w:szCs w:val="24"/>
        </w:rPr>
        <w:t xml:space="preserve"> were taken</w:t>
      </w:r>
      <w:r w:rsidR="00134AB3" w:rsidRPr="0062406E">
        <w:rPr>
          <w:sz w:val="24"/>
          <w:szCs w:val="24"/>
        </w:rPr>
        <w:t xml:space="preserve">, </w:t>
      </w:r>
      <w:r>
        <w:rPr>
          <w:sz w:val="24"/>
          <w:szCs w:val="24"/>
        </w:rPr>
        <w:t>the</w:t>
      </w:r>
      <w:r w:rsidRPr="0062406E">
        <w:rPr>
          <w:sz w:val="24"/>
          <w:szCs w:val="24"/>
        </w:rPr>
        <w:t xml:space="preserve"> </w:t>
      </w:r>
      <w:r w:rsidR="00134AB3" w:rsidRPr="0062406E">
        <w:rPr>
          <w:sz w:val="24"/>
          <w:szCs w:val="24"/>
        </w:rPr>
        <w:t>dataset contained 2,099,660 members.</w:t>
      </w:r>
    </w:p>
    <w:p w14:paraId="1061F8AB" w14:textId="77777777" w:rsidR="00287CE1" w:rsidRDefault="00134AB3" w:rsidP="00B75081">
      <w:pPr>
        <w:rPr>
          <w:sz w:val="24"/>
          <w:szCs w:val="24"/>
        </w:rPr>
      </w:pPr>
      <w:r w:rsidRPr="0062406E">
        <w:rPr>
          <w:sz w:val="24"/>
          <w:szCs w:val="24"/>
        </w:rPr>
        <w:t xml:space="preserve">Because the timeframe of </w:t>
      </w:r>
      <w:r w:rsidR="00D65159">
        <w:rPr>
          <w:sz w:val="24"/>
          <w:szCs w:val="24"/>
        </w:rPr>
        <w:t>the</w:t>
      </w:r>
      <w:r w:rsidR="00D65159" w:rsidRPr="0062406E">
        <w:rPr>
          <w:sz w:val="24"/>
          <w:szCs w:val="24"/>
        </w:rPr>
        <w:t xml:space="preserve"> </w:t>
      </w:r>
      <w:r w:rsidRPr="0062406E">
        <w:rPr>
          <w:sz w:val="24"/>
          <w:szCs w:val="24"/>
        </w:rPr>
        <w:t>data spanned only one calendar year</w:t>
      </w:r>
      <w:r w:rsidR="00D65159">
        <w:rPr>
          <w:sz w:val="24"/>
          <w:szCs w:val="24"/>
        </w:rPr>
        <w:t xml:space="preserve">, </w:t>
      </w:r>
      <w:r w:rsidR="00A71995">
        <w:rPr>
          <w:sz w:val="24"/>
          <w:szCs w:val="24"/>
        </w:rPr>
        <w:t>this</w:t>
      </w:r>
      <w:r w:rsidR="00A71995" w:rsidRPr="0062406E">
        <w:rPr>
          <w:sz w:val="24"/>
          <w:szCs w:val="24"/>
        </w:rPr>
        <w:t xml:space="preserve"> </w:t>
      </w:r>
      <w:r w:rsidRPr="0062406E">
        <w:rPr>
          <w:sz w:val="24"/>
          <w:szCs w:val="24"/>
        </w:rPr>
        <w:t>analysis</w:t>
      </w:r>
      <w:r w:rsidR="00D65159">
        <w:rPr>
          <w:sz w:val="24"/>
          <w:szCs w:val="24"/>
        </w:rPr>
        <w:t xml:space="preserve"> was limited</w:t>
      </w:r>
      <w:r w:rsidRPr="0062406E">
        <w:rPr>
          <w:sz w:val="24"/>
          <w:szCs w:val="24"/>
        </w:rPr>
        <w:t xml:space="preserve"> to conditions </w:t>
      </w:r>
      <w:r w:rsidR="00A71995">
        <w:rPr>
          <w:sz w:val="24"/>
          <w:szCs w:val="24"/>
        </w:rPr>
        <w:t>in which</w:t>
      </w:r>
      <w:r w:rsidR="00A71995" w:rsidRPr="0062406E">
        <w:rPr>
          <w:sz w:val="24"/>
          <w:szCs w:val="24"/>
        </w:rPr>
        <w:t xml:space="preserve"> </w:t>
      </w:r>
      <w:r w:rsidRPr="0062406E">
        <w:rPr>
          <w:sz w:val="24"/>
          <w:szCs w:val="24"/>
        </w:rPr>
        <w:t>the ECR time window was contained within the one</w:t>
      </w:r>
      <w:r w:rsidR="00B91953">
        <w:rPr>
          <w:sz w:val="24"/>
          <w:szCs w:val="24"/>
        </w:rPr>
        <w:t>-</w:t>
      </w:r>
      <w:r w:rsidRPr="0062406E">
        <w:rPr>
          <w:sz w:val="24"/>
          <w:szCs w:val="24"/>
        </w:rPr>
        <w:t xml:space="preserve">year period.  </w:t>
      </w:r>
      <w:r w:rsidR="00287CE1">
        <w:rPr>
          <w:sz w:val="24"/>
          <w:szCs w:val="24"/>
        </w:rPr>
        <w:t>C</w:t>
      </w:r>
      <w:r w:rsidRPr="0062406E">
        <w:rPr>
          <w:sz w:val="24"/>
          <w:szCs w:val="24"/>
        </w:rPr>
        <w:t>hronic conditions that required a one</w:t>
      </w:r>
      <w:r w:rsidR="002130C0">
        <w:rPr>
          <w:sz w:val="24"/>
          <w:szCs w:val="24"/>
        </w:rPr>
        <w:t>-</w:t>
      </w:r>
      <w:r w:rsidRPr="0062406E">
        <w:rPr>
          <w:sz w:val="24"/>
          <w:szCs w:val="24"/>
        </w:rPr>
        <w:t>year period after the trigger claim</w:t>
      </w:r>
      <w:r w:rsidR="00D65159">
        <w:rPr>
          <w:sz w:val="24"/>
          <w:szCs w:val="24"/>
        </w:rPr>
        <w:t xml:space="preserve"> were excluded</w:t>
      </w:r>
      <w:r w:rsidRPr="0062406E">
        <w:rPr>
          <w:sz w:val="24"/>
          <w:szCs w:val="24"/>
        </w:rPr>
        <w:t xml:space="preserve">.  </w:t>
      </w:r>
    </w:p>
    <w:p w14:paraId="198D6335" w14:textId="77777777" w:rsidR="00287CE1" w:rsidRPr="004B49D9" w:rsidRDefault="00287CE1" w:rsidP="00B75081">
      <w:pPr>
        <w:rPr>
          <w:rFonts w:eastAsia="Times New Roman"/>
          <w:sz w:val="24"/>
          <w:szCs w:val="24"/>
        </w:rPr>
      </w:pPr>
      <w:r w:rsidRPr="0062406E">
        <w:rPr>
          <w:rFonts w:cs="Times New Roman"/>
          <w:sz w:val="24"/>
          <w:szCs w:val="24"/>
        </w:rPr>
        <w:t xml:space="preserve">A trigger admission is the index claim that starts a new ECR. The trigger is identified through ICD-9 diagnosis codes </w:t>
      </w:r>
      <w:r>
        <w:rPr>
          <w:rFonts w:cs="Times New Roman"/>
          <w:sz w:val="24"/>
          <w:szCs w:val="24"/>
        </w:rPr>
        <w:t xml:space="preserve">either </w:t>
      </w:r>
      <w:r w:rsidRPr="0062406E">
        <w:rPr>
          <w:rFonts w:cs="Times New Roman"/>
          <w:sz w:val="24"/>
          <w:szCs w:val="24"/>
        </w:rPr>
        <w:t>alone or in combination with ICD-9 procedure codes or HCPCS/CPT codes listed in the Prometheus Payment Model ECR Manual.</w:t>
      </w:r>
      <w:r w:rsidRPr="0062406E">
        <w:rPr>
          <w:sz w:val="24"/>
          <w:szCs w:val="24"/>
        </w:rPr>
        <w:t xml:space="preserve"> For AMI, pneumonia, CABG</w:t>
      </w:r>
      <w:r>
        <w:rPr>
          <w:sz w:val="24"/>
          <w:szCs w:val="24"/>
        </w:rPr>
        <w:t>,</w:t>
      </w:r>
      <w:r w:rsidRPr="0062406E">
        <w:rPr>
          <w:sz w:val="24"/>
          <w:szCs w:val="24"/>
        </w:rPr>
        <w:t xml:space="preserve"> and bariatric surgery, all </w:t>
      </w:r>
      <w:r>
        <w:rPr>
          <w:sz w:val="24"/>
          <w:szCs w:val="24"/>
        </w:rPr>
        <w:t>related</w:t>
      </w:r>
      <w:r w:rsidRPr="0062406E">
        <w:rPr>
          <w:sz w:val="24"/>
          <w:szCs w:val="24"/>
        </w:rPr>
        <w:t xml:space="preserve"> inpatient admissions during the ECR time window, other than the index trigger admission</w:t>
      </w:r>
      <w:r>
        <w:rPr>
          <w:sz w:val="24"/>
          <w:szCs w:val="24"/>
        </w:rPr>
        <w:t>,</w:t>
      </w:r>
      <w:r w:rsidRPr="0062406E">
        <w:rPr>
          <w:sz w:val="24"/>
          <w:szCs w:val="24"/>
        </w:rPr>
        <w:t xml:space="preserve"> are defined as readmissions.</w:t>
      </w:r>
      <w:r w:rsidRPr="0062406E">
        <w:rPr>
          <w:rStyle w:val="FootnoteReference"/>
          <w:sz w:val="24"/>
          <w:szCs w:val="24"/>
        </w:rPr>
        <w:t xml:space="preserve"> </w:t>
      </w:r>
      <w:r w:rsidRPr="0062406E">
        <w:rPr>
          <w:rStyle w:val="FootnoteReference"/>
          <w:sz w:val="24"/>
          <w:szCs w:val="24"/>
        </w:rPr>
        <w:footnoteReference w:id="24"/>
      </w:r>
      <w:r w:rsidRPr="0062406E">
        <w:rPr>
          <w:sz w:val="24"/>
          <w:szCs w:val="24"/>
        </w:rPr>
        <w:t xml:space="preserve"> For gallbladder surgery, pregnancy and delivery, and colonoscopy, all </w:t>
      </w:r>
      <w:r>
        <w:rPr>
          <w:sz w:val="24"/>
          <w:szCs w:val="24"/>
        </w:rPr>
        <w:t>related</w:t>
      </w:r>
      <w:r w:rsidRPr="0062406E">
        <w:rPr>
          <w:sz w:val="24"/>
          <w:szCs w:val="24"/>
        </w:rPr>
        <w:t xml:space="preserve"> inpatient and outpatient admissions </w:t>
      </w:r>
      <w:r>
        <w:rPr>
          <w:sz w:val="24"/>
          <w:szCs w:val="24"/>
        </w:rPr>
        <w:t>that occu</w:t>
      </w:r>
      <w:r w:rsidRPr="0062406E">
        <w:rPr>
          <w:sz w:val="24"/>
          <w:szCs w:val="24"/>
        </w:rPr>
        <w:t>r before or after the index trigger admission are defined as associated admissions.</w:t>
      </w:r>
      <w:r w:rsidRPr="0062406E">
        <w:rPr>
          <w:rStyle w:val="FootnoteReference"/>
          <w:sz w:val="24"/>
          <w:szCs w:val="24"/>
        </w:rPr>
        <w:footnoteReference w:id="25"/>
      </w:r>
    </w:p>
    <w:p w14:paraId="6023ACBD" w14:textId="77777777" w:rsidR="00134AB3" w:rsidRPr="0062406E" w:rsidRDefault="00A360C8" w:rsidP="00B75081">
      <w:pPr>
        <w:rPr>
          <w:sz w:val="24"/>
          <w:szCs w:val="24"/>
        </w:rPr>
      </w:pPr>
      <w:r>
        <w:rPr>
          <w:sz w:val="24"/>
          <w:szCs w:val="24"/>
        </w:rPr>
        <w:lastRenderedPageBreak/>
        <w:t>P</w:t>
      </w:r>
      <w:r w:rsidR="00134AB3" w:rsidRPr="0062406E">
        <w:rPr>
          <w:sz w:val="24"/>
          <w:szCs w:val="24"/>
        </w:rPr>
        <w:t>roprietary Prometheus software</w:t>
      </w:r>
      <w:r w:rsidR="00D65159">
        <w:rPr>
          <w:sz w:val="24"/>
          <w:szCs w:val="24"/>
        </w:rPr>
        <w:t xml:space="preserve"> was used</w:t>
      </w:r>
      <w:r w:rsidR="00134AB3" w:rsidRPr="0062406E">
        <w:rPr>
          <w:sz w:val="24"/>
          <w:szCs w:val="24"/>
        </w:rPr>
        <w:t xml:space="preserve"> to run </w:t>
      </w:r>
      <w:r>
        <w:rPr>
          <w:sz w:val="24"/>
          <w:szCs w:val="24"/>
        </w:rPr>
        <w:t>this</w:t>
      </w:r>
      <w:r w:rsidRPr="0062406E">
        <w:rPr>
          <w:sz w:val="24"/>
          <w:szCs w:val="24"/>
        </w:rPr>
        <w:t xml:space="preserve"> </w:t>
      </w:r>
      <w:r w:rsidR="00134AB3" w:rsidRPr="0062406E">
        <w:rPr>
          <w:sz w:val="24"/>
          <w:szCs w:val="24"/>
        </w:rPr>
        <w:t>analysis</w:t>
      </w:r>
      <w:r>
        <w:rPr>
          <w:sz w:val="24"/>
          <w:szCs w:val="24"/>
        </w:rPr>
        <w:t xml:space="preserve"> with</w:t>
      </w:r>
      <w:r w:rsidR="00134AB3" w:rsidRPr="0062406E">
        <w:rPr>
          <w:sz w:val="24"/>
          <w:szCs w:val="24"/>
        </w:rPr>
        <w:t xml:space="preserve"> fields and analy</w:t>
      </w:r>
      <w:r w:rsidR="00D65159">
        <w:rPr>
          <w:sz w:val="24"/>
          <w:szCs w:val="24"/>
        </w:rPr>
        <w:t>tic</w:t>
      </w:r>
      <w:r w:rsidR="00134AB3" w:rsidRPr="0062406E">
        <w:rPr>
          <w:sz w:val="24"/>
          <w:szCs w:val="24"/>
        </w:rPr>
        <w:t xml:space="preserve"> files</w:t>
      </w:r>
      <w:r w:rsidR="00D65159">
        <w:rPr>
          <w:sz w:val="24"/>
          <w:szCs w:val="24"/>
        </w:rPr>
        <w:t xml:space="preserve"> coded</w:t>
      </w:r>
      <w:r w:rsidR="00134AB3" w:rsidRPr="0062406E">
        <w:rPr>
          <w:sz w:val="24"/>
          <w:szCs w:val="24"/>
        </w:rPr>
        <w:t xml:space="preserve"> to specifications provided by the </w:t>
      </w:r>
      <w:r w:rsidR="00D65159">
        <w:rPr>
          <w:sz w:val="24"/>
          <w:szCs w:val="24"/>
        </w:rPr>
        <w:t xml:space="preserve">software’s </w:t>
      </w:r>
      <w:r w:rsidR="00134AB3" w:rsidRPr="0062406E">
        <w:rPr>
          <w:sz w:val="24"/>
          <w:szCs w:val="24"/>
        </w:rPr>
        <w:t xml:space="preserve">manual. The software required inpatient claims information </w:t>
      </w:r>
      <w:r w:rsidR="00287CE1">
        <w:rPr>
          <w:sz w:val="24"/>
          <w:szCs w:val="24"/>
        </w:rPr>
        <w:t>to be</w:t>
      </w:r>
      <w:r w:rsidR="00287CE1" w:rsidRPr="0062406E">
        <w:rPr>
          <w:sz w:val="24"/>
          <w:szCs w:val="24"/>
        </w:rPr>
        <w:t xml:space="preserve"> </w:t>
      </w:r>
      <w:r w:rsidR="00134AB3" w:rsidRPr="0062406E">
        <w:rPr>
          <w:sz w:val="24"/>
          <w:szCs w:val="24"/>
        </w:rPr>
        <w:t>aggregated to the visit level, and that inpatient data be stored in a separate analysis file from all other medical claims (which remained at the claim line level). Inpatient medical claims were defined as those for which at least one line had either a room and board code in the revenue code field (codes 100-189 and 200-229) or a Type of Bill code of 11.</w:t>
      </w:r>
      <w:r w:rsidR="00134AB3" w:rsidRPr="0062406E">
        <w:rPr>
          <w:rStyle w:val="FootnoteReference"/>
          <w:sz w:val="24"/>
          <w:szCs w:val="24"/>
        </w:rPr>
        <w:footnoteReference w:id="26"/>
      </w:r>
      <w:r w:rsidR="00134AB3" w:rsidRPr="0062406E">
        <w:rPr>
          <w:sz w:val="24"/>
          <w:szCs w:val="24"/>
        </w:rPr>
        <w:t xml:space="preserve"> </w:t>
      </w:r>
    </w:p>
    <w:p w14:paraId="53A6A93F" w14:textId="77777777" w:rsidR="00134AB3" w:rsidRPr="0062406E" w:rsidRDefault="00134AB3" w:rsidP="00B75081">
      <w:pPr>
        <w:rPr>
          <w:sz w:val="24"/>
          <w:szCs w:val="24"/>
        </w:rPr>
      </w:pPr>
      <w:r w:rsidRPr="0062406E">
        <w:rPr>
          <w:sz w:val="24"/>
          <w:szCs w:val="24"/>
        </w:rPr>
        <w:t xml:space="preserve">Several steps were needed to aggregate the claim line level data into one record per inpatient visit. Unique inpatient visits were defined based on member, hospital, and dates of service. </w:t>
      </w:r>
      <w:r w:rsidR="00D65159">
        <w:rPr>
          <w:sz w:val="24"/>
          <w:szCs w:val="24"/>
        </w:rPr>
        <w:t>The a</w:t>
      </w:r>
      <w:r w:rsidRPr="0062406E">
        <w:rPr>
          <w:sz w:val="24"/>
          <w:szCs w:val="24"/>
        </w:rPr>
        <w:t>llowed amount for each visit was calculated as the sum of the allowed amounts from the individual claim lines. For visits that had multiple procedure codes, modifiers, revenue codes, or diagnosis codes, these codes were de-duplicated and placed into separate columns in the aggregated dataset. For a small proportion of visits that had more than one discharge status code, the code appearing on the claim line with the highest allowed amount was retained. Admission source and place of service were coded by retaining the codes for emergency room service on the aggregated record for the visit if any of the associated claim lines indicated emergency room service.</w:t>
      </w:r>
      <w:r w:rsidRPr="0062406E">
        <w:rPr>
          <w:rStyle w:val="FootnoteReference"/>
          <w:sz w:val="24"/>
          <w:szCs w:val="24"/>
        </w:rPr>
        <w:footnoteReference w:id="27"/>
      </w:r>
      <w:r w:rsidRPr="0062406E">
        <w:rPr>
          <w:sz w:val="24"/>
          <w:szCs w:val="24"/>
        </w:rPr>
        <w:t xml:space="preserve"> This method was chosen because the Prometheus software uses these fields only to identify claims that involved an emergency room service. </w:t>
      </w:r>
    </w:p>
    <w:p w14:paraId="3BB7C6E1" w14:textId="77777777" w:rsidR="00134AB3" w:rsidRPr="0062406E" w:rsidRDefault="00134AB3" w:rsidP="00B75081">
      <w:pPr>
        <w:rPr>
          <w:sz w:val="24"/>
          <w:szCs w:val="24"/>
        </w:rPr>
      </w:pPr>
      <w:r w:rsidRPr="0062406E">
        <w:rPr>
          <w:sz w:val="24"/>
          <w:szCs w:val="24"/>
        </w:rPr>
        <w:t>A separate file was created for non-inpatient medical claims. Individual files were also created for pharmacy claims, member information, and dates of member enrollment spells. The data preparation for these files was less complex than for the inpatient file, involving a small amount of recoding, formatting, and general data cleaning steps such as those described above (e.g., eliminating members who had a capitated claim at any point).</w:t>
      </w:r>
    </w:p>
    <w:p w14:paraId="14557C49" w14:textId="77777777" w:rsidR="00E647AA" w:rsidRPr="00591C53" w:rsidRDefault="00134AB3" w:rsidP="00591C53">
      <w:pPr>
        <w:autoSpaceDE w:val="0"/>
        <w:autoSpaceDN w:val="0"/>
        <w:adjustRightInd w:val="0"/>
        <w:spacing w:after="0"/>
        <w:rPr>
          <w:b/>
          <w:sz w:val="24"/>
          <w:szCs w:val="24"/>
        </w:rPr>
      </w:pPr>
      <w:r w:rsidRPr="0062406E">
        <w:rPr>
          <w:sz w:val="24"/>
          <w:szCs w:val="24"/>
        </w:rPr>
        <w:t xml:space="preserve">After creation of analysis files, the Prometheus proprietary software </w:t>
      </w:r>
      <w:r w:rsidR="00541866">
        <w:rPr>
          <w:sz w:val="24"/>
          <w:szCs w:val="24"/>
        </w:rPr>
        <w:t xml:space="preserve">was used </w:t>
      </w:r>
      <w:r w:rsidRPr="0062406E">
        <w:rPr>
          <w:sz w:val="24"/>
          <w:szCs w:val="24"/>
        </w:rPr>
        <w:t>to perform all aspects of the data analysis, including identification of episodes and associated claims, assignment of claims to either the typical care category or the PAC category, and calculation of total spending by condition and service type. The analysis program produced output containing spending by condition and service type, and these numbers were used to calculate the ECR</w:t>
      </w:r>
      <w:r w:rsidR="00A360C8">
        <w:rPr>
          <w:sz w:val="24"/>
          <w:szCs w:val="24"/>
        </w:rPr>
        <w:t xml:space="preserve">s </w:t>
      </w:r>
      <w:r w:rsidR="00FF5B90">
        <w:rPr>
          <w:sz w:val="24"/>
          <w:szCs w:val="24"/>
        </w:rPr>
        <w:t>included in this report</w:t>
      </w:r>
      <w:r w:rsidRPr="0062406E">
        <w:rPr>
          <w:sz w:val="24"/>
          <w:szCs w:val="24"/>
        </w:rPr>
        <w:t>.</w:t>
      </w:r>
    </w:p>
    <w:sectPr w:rsidR="00E647AA" w:rsidRPr="00591C53" w:rsidSect="00CB5438">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1055E" w14:textId="77777777" w:rsidR="00204249" w:rsidRDefault="00204249" w:rsidP="004D5CE0">
      <w:pPr>
        <w:spacing w:after="0" w:line="240" w:lineRule="auto"/>
      </w:pPr>
      <w:r>
        <w:separator/>
      </w:r>
    </w:p>
  </w:endnote>
  <w:endnote w:type="continuationSeparator" w:id="0">
    <w:p w14:paraId="24533B45" w14:textId="77777777" w:rsidR="00204249" w:rsidRDefault="00204249" w:rsidP="004D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B6327" w14:textId="77777777" w:rsidR="00204249" w:rsidRDefault="00204249">
    <w:pPr>
      <w:pStyle w:val="Footer"/>
    </w:pPr>
    <w:r>
      <w:t>Bundled Payments, Vol. II</w:t>
    </w:r>
    <w:r>
      <w:ptab w:relativeTo="margin" w:alignment="center" w:leader="none"/>
    </w:r>
    <w:r>
      <w:ptab w:relativeTo="margin" w:alignment="right" w:leader="none"/>
    </w:r>
    <w:r>
      <w:fldChar w:fldCharType="begin"/>
    </w:r>
    <w:r>
      <w:instrText xml:space="preserve"> PAGE  \* Arabic  \* MERGEFORMAT </w:instrText>
    </w:r>
    <w:r>
      <w:fldChar w:fldCharType="separate"/>
    </w:r>
    <w:r w:rsidR="00A6152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DAE37" w14:textId="77777777" w:rsidR="00204249" w:rsidRDefault="00204249" w:rsidP="004D5CE0">
      <w:pPr>
        <w:spacing w:after="0" w:line="240" w:lineRule="auto"/>
      </w:pPr>
      <w:r>
        <w:separator/>
      </w:r>
    </w:p>
  </w:footnote>
  <w:footnote w:type="continuationSeparator" w:id="0">
    <w:p w14:paraId="37055FFD" w14:textId="77777777" w:rsidR="00204249" w:rsidRDefault="00204249" w:rsidP="004D5CE0">
      <w:pPr>
        <w:spacing w:after="0" w:line="240" w:lineRule="auto"/>
      </w:pPr>
      <w:r>
        <w:continuationSeparator/>
      </w:r>
    </w:p>
  </w:footnote>
  <w:footnote w:id="1">
    <w:p w14:paraId="6D9DAF11" w14:textId="77777777" w:rsidR="00204249" w:rsidRDefault="00204249">
      <w:pPr>
        <w:pStyle w:val="FootnoteText"/>
      </w:pPr>
      <w:r>
        <w:rPr>
          <w:rStyle w:val="FootnoteReference"/>
        </w:rPr>
        <w:footnoteRef/>
      </w:r>
      <w:r>
        <w:t xml:space="preserve"> Prometheus Payment Model Version 3.5.2</w:t>
      </w:r>
    </w:p>
  </w:footnote>
  <w:footnote w:id="2">
    <w:p w14:paraId="555217BC" w14:textId="77777777" w:rsidR="00204249" w:rsidRDefault="00204249" w:rsidP="00EC5E44">
      <w:pPr>
        <w:pStyle w:val="FootnoteText"/>
      </w:pPr>
      <w:r>
        <w:rPr>
          <w:rStyle w:val="FootnoteReference"/>
        </w:rPr>
        <w:footnoteRef/>
      </w:r>
      <w:r>
        <w:t xml:space="preserve"> See Table 2 in Section 4 for more information.</w:t>
      </w:r>
    </w:p>
  </w:footnote>
  <w:footnote w:id="3">
    <w:p w14:paraId="49656B2D" w14:textId="77777777" w:rsidR="00204249" w:rsidRPr="004B49D9" w:rsidRDefault="00204249">
      <w:pPr>
        <w:pStyle w:val="FootnoteText"/>
      </w:pPr>
      <w:r w:rsidRPr="004B49D9">
        <w:rPr>
          <w:rStyle w:val="FootnoteReference"/>
        </w:rPr>
        <w:footnoteRef/>
      </w:r>
      <w:r w:rsidRPr="004B49D9">
        <w:t xml:space="preserve"> Episodes were designated to be either acute or chronic. Acute condition episodes were defined to occur over a defined period of time, with a clear beginning and end. Chronic condition episodes were defined to occur annually.</w:t>
      </w:r>
    </w:p>
  </w:footnote>
  <w:footnote w:id="4">
    <w:p w14:paraId="52CD7C0E" w14:textId="77777777" w:rsidR="00204249" w:rsidRPr="00062642" w:rsidRDefault="00204249" w:rsidP="004D5CE0">
      <w:pPr>
        <w:pStyle w:val="FootnoteText"/>
        <w:rPr>
          <w:rFonts w:ascii="Times New Roman" w:hAnsi="Times New Roman"/>
        </w:rPr>
      </w:pPr>
      <w:r w:rsidRPr="00062642">
        <w:rPr>
          <w:rStyle w:val="FootnoteReference"/>
          <w:rFonts w:ascii="Times New Roman" w:hAnsi="Times New Roman"/>
        </w:rPr>
        <w:footnoteRef/>
      </w:r>
      <w:r w:rsidRPr="00062642">
        <w:rPr>
          <w:rFonts w:ascii="Times New Roman" w:hAnsi="Times New Roman"/>
        </w:rPr>
        <w:t xml:space="preserve"> </w:t>
      </w:r>
      <w:r w:rsidRPr="00515DC7">
        <w:t>de Brantes, F., Camillus, J. (2007). Evidence-informed case rates: a new health care payment model. Washington, DC: The Commonwealth Fund.</w:t>
      </w:r>
    </w:p>
  </w:footnote>
  <w:footnote w:id="5">
    <w:p w14:paraId="301D15B4" w14:textId="77777777" w:rsidR="00204249" w:rsidRPr="008401BB" w:rsidRDefault="00204249">
      <w:pPr>
        <w:pStyle w:val="FootnoteText"/>
      </w:pPr>
      <w:r>
        <w:rPr>
          <w:rStyle w:val="FootnoteReference"/>
        </w:rPr>
        <w:footnoteRef/>
      </w:r>
      <w:r>
        <w:t xml:space="preserve"> Health Care Incentives Improvement Institute (2010). The history of the development of the Prometheus Payment Model defined potentially avoidable complications. Available at: </w:t>
      </w:r>
      <w:hyperlink r:id="rId1" w:history="1">
        <w:r w:rsidRPr="00844068">
          <w:rPr>
            <w:rStyle w:val="Hyperlink"/>
          </w:rPr>
          <w:t>http://www.hci3.org/sites/default/files/files/The%20History%20of%20the%20development%20of%20the%20Prometheus%20PACs%20Aug%202010%281%29.pdf</w:t>
        </w:r>
      </w:hyperlink>
      <w:r w:rsidRPr="008401BB">
        <w:rPr>
          <w:rStyle w:val="Hyperlink"/>
          <w:color w:val="auto"/>
          <w:u w:val="none"/>
        </w:rPr>
        <w:t xml:space="preserve"> (Accessed August 20, 2013).</w:t>
      </w:r>
    </w:p>
  </w:footnote>
  <w:footnote w:id="6">
    <w:p w14:paraId="66D67474" w14:textId="77777777" w:rsidR="00204249" w:rsidRPr="00325620" w:rsidRDefault="00204249" w:rsidP="00C62B51">
      <w:pPr>
        <w:pStyle w:val="FootnoteText"/>
      </w:pPr>
      <w:r w:rsidRPr="00325620">
        <w:rPr>
          <w:rStyle w:val="FootnoteReference"/>
        </w:rPr>
        <w:footnoteRef/>
      </w:r>
      <w:r w:rsidRPr="00325620">
        <w:t xml:space="preserve"> </w:t>
      </w:r>
      <w:r w:rsidRPr="00325620">
        <w:rPr>
          <w:bCs/>
        </w:rPr>
        <w:t xml:space="preserve">For more detail regarding how provider quality performance can be scored and rewarded, please see the </w:t>
      </w:r>
      <w:r w:rsidRPr="008401BB">
        <w:rPr>
          <w:bCs/>
          <w:i/>
        </w:rPr>
        <w:t>Bundled Payment Volume 1</w:t>
      </w:r>
      <w:r w:rsidRPr="00325620">
        <w:rPr>
          <w:bCs/>
        </w:rPr>
        <w:t xml:space="preserve"> Technical Appendix</w:t>
      </w:r>
      <w:r>
        <w:rPr>
          <w:bCs/>
        </w:rPr>
        <w:t xml:space="preserve">: </w:t>
      </w:r>
      <w:hyperlink r:id="rId2" w:history="1">
        <w:r w:rsidRPr="003B7EFA">
          <w:rPr>
            <w:rStyle w:val="Hyperlink"/>
            <w:bCs/>
          </w:rPr>
          <w:t>http://www.mass.gov/chia/docs/r/pubs/11/bundled-payments-report-02-2011.pdf</w:t>
        </w:r>
      </w:hyperlink>
      <w:r>
        <w:rPr>
          <w:bCs/>
        </w:rPr>
        <w:t xml:space="preserve"> </w:t>
      </w:r>
      <w:r w:rsidRPr="008401BB">
        <w:rPr>
          <w:rStyle w:val="Hyperlink"/>
          <w:color w:val="auto"/>
          <w:u w:val="none"/>
        </w:rPr>
        <w:t>(Accessed August 20, 2013).</w:t>
      </w:r>
    </w:p>
  </w:footnote>
  <w:footnote w:id="7">
    <w:p w14:paraId="4C3E6CB8" w14:textId="77777777" w:rsidR="00204249" w:rsidRDefault="00204249" w:rsidP="0057623F">
      <w:pPr>
        <w:pStyle w:val="FootnoteText"/>
      </w:pPr>
      <w:r>
        <w:rPr>
          <w:rStyle w:val="FootnoteReference"/>
        </w:rPr>
        <w:footnoteRef/>
      </w:r>
      <w:r>
        <w:t xml:space="preserve"> de Brantes, F., Rastogi, M., Painter, M. (2010). Reducing potentially avoidable complications in patients with chronic diseases: the Prometheus Payment approach. Health Services Research, 45(6p2), 1854-1871.</w:t>
      </w:r>
    </w:p>
  </w:footnote>
  <w:footnote w:id="8">
    <w:p w14:paraId="11DD9BE0" w14:textId="77777777" w:rsidR="00204249" w:rsidRDefault="00204249">
      <w:pPr>
        <w:pStyle w:val="FootnoteText"/>
      </w:pPr>
      <w:r>
        <w:rPr>
          <w:rStyle w:val="FootnoteReference"/>
        </w:rPr>
        <w:footnoteRef/>
      </w:r>
      <w:r>
        <w:t xml:space="preserve"> de Brantes, F., Rastogi, M., Painter, M. (2010). </w:t>
      </w:r>
    </w:p>
  </w:footnote>
  <w:footnote w:id="9">
    <w:p w14:paraId="7DB1895B" w14:textId="77777777" w:rsidR="00204249" w:rsidRDefault="00204249" w:rsidP="004D5CE0">
      <w:pPr>
        <w:pStyle w:val="FootnoteText"/>
      </w:pPr>
      <w:r>
        <w:rPr>
          <w:rStyle w:val="FootnoteReference"/>
        </w:rPr>
        <w:footnoteRef/>
      </w:r>
      <w:r>
        <w:t xml:space="preserve"> </w:t>
      </w:r>
      <w:r w:rsidRPr="00515DC7">
        <w:t>de Brantes,</w:t>
      </w:r>
      <w:r>
        <w:t xml:space="preserve"> F., Rosenthal, M., </w:t>
      </w:r>
      <w:r w:rsidRPr="00515DC7">
        <w:t>Painter, M. (2009). Building a bridge from fragmentation to accountability — the Prometheus payment model. New England Journal of Medicine, 361(11), 1033-1036.</w:t>
      </w:r>
    </w:p>
  </w:footnote>
  <w:footnote w:id="10">
    <w:p w14:paraId="1EEF75FA" w14:textId="77777777" w:rsidR="00204249" w:rsidRPr="00B007E5" w:rsidRDefault="00204249" w:rsidP="00FA321A">
      <w:pPr>
        <w:pStyle w:val="FootnoteText"/>
      </w:pPr>
      <w:r w:rsidRPr="00325620">
        <w:rPr>
          <w:rStyle w:val="FootnoteReference"/>
        </w:rPr>
        <w:footnoteRef/>
      </w:r>
      <w:r w:rsidRPr="00325620">
        <w:t xml:space="preserve"> Rastogi, A., Mohr, B.A., Williams, J.O., Soobader, M.J., &amp; de Brantes, F. (2009). Prometheus payment model: application to hip and knee replacement surgery. </w:t>
      </w:r>
      <w:r w:rsidRPr="00325620">
        <w:rPr>
          <w:i/>
        </w:rPr>
        <w:t>Clinical Orthopaedics and Related Research</w:t>
      </w:r>
      <w:r w:rsidRPr="00325620">
        <w:t>, 467(10), 2587-2597.</w:t>
      </w:r>
    </w:p>
  </w:footnote>
  <w:footnote w:id="11">
    <w:p w14:paraId="638DAC7E" w14:textId="77777777" w:rsidR="00204249" w:rsidRDefault="00204249" w:rsidP="00FC4A18">
      <w:pPr>
        <w:pStyle w:val="FootnoteText"/>
      </w:pPr>
      <w:r>
        <w:rPr>
          <w:rStyle w:val="FootnoteReference"/>
        </w:rPr>
        <w:footnoteRef/>
      </w:r>
      <w:r>
        <w:t xml:space="preserve"> Prometheus Payment Inc. (2009). What is Prometheus Payment? An Evidence-Informed Model for Payment Reform. Available at: </w:t>
      </w:r>
      <w:hyperlink r:id="rId3" w:history="1">
        <w:r>
          <w:rPr>
            <w:rStyle w:val="Hyperlink"/>
          </w:rPr>
          <w:t>http://www.rwjf.org/en/research-publications/find-rwjf-research/2009/06/what-is-prometheus-payment-.html</w:t>
        </w:r>
      </w:hyperlink>
      <w:r>
        <w:t xml:space="preserve"> </w:t>
      </w:r>
      <w:r w:rsidRPr="008401BB">
        <w:rPr>
          <w:rStyle w:val="Hyperlink"/>
          <w:color w:val="auto"/>
          <w:u w:val="none"/>
        </w:rPr>
        <w:t>(Accessed August 20, 2013).</w:t>
      </w:r>
    </w:p>
  </w:footnote>
  <w:footnote w:id="12">
    <w:p w14:paraId="4D1F5236" w14:textId="77777777" w:rsidR="00204249" w:rsidRPr="00B007E5" w:rsidRDefault="00204249" w:rsidP="004D5CE0">
      <w:pPr>
        <w:pStyle w:val="FootnoteText"/>
      </w:pPr>
      <w:r w:rsidRPr="00B007E5">
        <w:rPr>
          <w:rStyle w:val="FootnoteReference"/>
        </w:rPr>
        <w:footnoteRef/>
      </w:r>
      <w:r w:rsidRPr="00B007E5">
        <w:t xml:space="preserve"> Health Care Incentives Improvement Institute (2010). </w:t>
      </w:r>
      <w:hyperlink r:id="rId4" w:history="1">
        <w:r w:rsidRPr="00B007E5">
          <w:rPr>
            <w:rStyle w:val="Hyperlink"/>
          </w:rPr>
          <w:t>http://www.prometheuspayment.org</w:t>
        </w:r>
      </w:hyperlink>
      <w:r>
        <w:t xml:space="preserve"> </w:t>
      </w:r>
      <w:r w:rsidRPr="008401BB">
        <w:rPr>
          <w:rStyle w:val="Hyperlink"/>
          <w:color w:val="auto"/>
          <w:u w:val="none"/>
        </w:rPr>
        <w:t>(Accessed August 20, 2013).</w:t>
      </w:r>
    </w:p>
  </w:footnote>
  <w:footnote w:id="13">
    <w:p w14:paraId="45A1C5CC" w14:textId="77777777" w:rsidR="00204249" w:rsidRDefault="00204249">
      <w:pPr>
        <w:pStyle w:val="FootnoteText"/>
      </w:pPr>
      <w:r>
        <w:rPr>
          <w:rStyle w:val="FootnoteReference"/>
        </w:rPr>
        <w:footnoteRef/>
      </w:r>
      <w:r>
        <w:t xml:space="preserve"> See the Technical Appendix for definitions of episodes of care and further information on the simulation methodology.</w:t>
      </w:r>
    </w:p>
  </w:footnote>
  <w:footnote w:id="14">
    <w:p w14:paraId="6A2DF754" w14:textId="77777777" w:rsidR="00204249" w:rsidRPr="000558D7" w:rsidRDefault="00204249" w:rsidP="007960EE">
      <w:pPr>
        <w:pStyle w:val="FootnoteText"/>
      </w:pPr>
      <w:r>
        <w:rPr>
          <w:rStyle w:val="FootnoteReference"/>
        </w:rPr>
        <w:footnoteRef/>
      </w:r>
      <w:r>
        <w:t xml:space="preserve"> Heber, D., Greenway, F., Kaplan, L., Livingston, E., Salvador, J., Still, C. (2010). Endocrine and Nutritional Management of Post-Bariatric Surgery Patient. </w:t>
      </w:r>
      <w:r>
        <w:rPr>
          <w:i/>
        </w:rPr>
        <w:t>Journal of Clinical Endocrinology and Metabolism, 95</w:t>
      </w:r>
      <w:r>
        <w:t>(11), 4823-4843.</w:t>
      </w:r>
    </w:p>
  </w:footnote>
  <w:footnote w:id="15">
    <w:p w14:paraId="007631A7" w14:textId="77777777" w:rsidR="00204249" w:rsidRPr="0087698D" w:rsidRDefault="00204249">
      <w:pPr>
        <w:pStyle w:val="FootnoteText"/>
      </w:pPr>
      <w:r>
        <w:rPr>
          <w:rStyle w:val="FootnoteReference"/>
        </w:rPr>
        <w:footnoteRef/>
      </w:r>
      <w:r>
        <w:t xml:space="preserve"> Dartmouth Institute for Health Policy and Clinical Practice. </w:t>
      </w:r>
      <w:r>
        <w:rPr>
          <w:i/>
        </w:rPr>
        <w:t xml:space="preserve">Dartmouth </w:t>
      </w:r>
      <w:r w:rsidRPr="00391354">
        <w:rPr>
          <w:i/>
        </w:rPr>
        <w:t>Atlas of Health Car</w:t>
      </w:r>
      <w:r>
        <w:rPr>
          <w:i/>
        </w:rPr>
        <w:t xml:space="preserve">e. </w:t>
      </w:r>
      <w:r>
        <w:t xml:space="preserve">Hanover, NH: Dartmouth Institute. Available from: </w:t>
      </w:r>
      <w:hyperlink r:id="rId5" w:history="1">
        <w:r>
          <w:rPr>
            <w:rStyle w:val="Hyperlink"/>
          </w:rPr>
          <w:t>http://www.dartmouthatlas.org/</w:t>
        </w:r>
      </w:hyperlink>
      <w:r>
        <w:rPr>
          <w:rStyle w:val="Hyperlink"/>
          <w:color w:val="auto"/>
          <w:u w:val="none"/>
        </w:rPr>
        <w:t xml:space="preserve"> (Accessed August 20, 2013).</w:t>
      </w:r>
    </w:p>
  </w:footnote>
  <w:footnote w:id="16">
    <w:p w14:paraId="515B88DE" w14:textId="77777777" w:rsidR="00204249" w:rsidRDefault="00204249">
      <w:pPr>
        <w:pStyle w:val="FootnoteText"/>
      </w:pPr>
      <w:r>
        <w:rPr>
          <w:rStyle w:val="FootnoteReference"/>
        </w:rPr>
        <w:footnoteRef/>
      </w:r>
      <w:r>
        <w:t xml:space="preserve"> This example is simplified for explanatory value.  Prometheus-estimated“typical care costs” also resulted in estimated savings.</w:t>
      </w:r>
    </w:p>
  </w:footnote>
  <w:footnote w:id="17">
    <w:p w14:paraId="3F9E8524" w14:textId="77777777" w:rsidR="00204249" w:rsidRDefault="00204249" w:rsidP="00BD77C4">
      <w:pPr>
        <w:pStyle w:val="FootnoteText"/>
      </w:pPr>
      <w:r>
        <w:rPr>
          <w:rStyle w:val="FootnoteReference"/>
        </w:rPr>
        <w:footnoteRef/>
      </w:r>
      <w:r>
        <w:t xml:space="preserve"> Because of the high volume of colonoscopy episodes included in this bundled payment analysis, the proportion of savings per episode is further diluted </w:t>
      </w:r>
    </w:p>
  </w:footnote>
  <w:footnote w:id="18">
    <w:p w14:paraId="3F6688E0" w14:textId="77777777" w:rsidR="00204249" w:rsidRDefault="00204249" w:rsidP="008559EC">
      <w:pPr>
        <w:pStyle w:val="FootnoteText"/>
      </w:pPr>
      <w:r>
        <w:rPr>
          <w:rStyle w:val="FootnoteReference"/>
        </w:rPr>
        <w:footnoteRef/>
      </w:r>
      <w:r>
        <w:t xml:space="preserve"> Totals may not sum due to rounding</w:t>
      </w:r>
    </w:p>
  </w:footnote>
  <w:footnote w:id="19">
    <w:p w14:paraId="5B9DC833" w14:textId="77777777" w:rsidR="00204249" w:rsidRDefault="00204249">
      <w:pPr>
        <w:pStyle w:val="FootnoteText"/>
      </w:pPr>
      <w:r>
        <w:rPr>
          <w:rStyle w:val="FootnoteReference"/>
        </w:rPr>
        <w:footnoteRef/>
      </w:r>
      <w:r>
        <w:t xml:space="preserve"> Cost savings totals are likely underestimates, given that only 65% of the commercial market is accounted for in this analysis.</w:t>
      </w:r>
    </w:p>
  </w:footnote>
  <w:footnote w:id="20">
    <w:p w14:paraId="4F1629AA" w14:textId="77777777" w:rsidR="00204249" w:rsidRPr="00B007E5" w:rsidRDefault="00204249" w:rsidP="003F108C">
      <w:pPr>
        <w:pStyle w:val="FootnoteText"/>
      </w:pPr>
      <w:r w:rsidRPr="00325620">
        <w:rPr>
          <w:rStyle w:val="FootnoteReference"/>
        </w:rPr>
        <w:footnoteRef/>
      </w:r>
      <w:r w:rsidRPr="00325620">
        <w:t xml:space="preserve"> Rastogi, A., Mohr, B.A., Williams, J.O., Soobader, M.J., &amp; de Brantes, F. (2009). Prometheus payment model: application to hip and knee replacement surgery. </w:t>
      </w:r>
      <w:r w:rsidRPr="00325620">
        <w:rPr>
          <w:i/>
        </w:rPr>
        <w:t>Clinical Orthopaedics and Related Research</w:t>
      </w:r>
      <w:r w:rsidRPr="00325620">
        <w:t>, 467(10), 2587-2597.</w:t>
      </w:r>
    </w:p>
  </w:footnote>
  <w:footnote w:id="21">
    <w:p w14:paraId="20493022" w14:textId="77777777" w:rsidR="00204249" w:rsidRPr="00446C1B" w:rsidRDefault="00204249">
      <w:pPr>
        <w:pStyle w:val="FootnoteText"/>
      </w:pPr>
      <w:r>
        <w:rPr>
          <w:rStyle w:val="FootnoteReference"/>
        </w:rPr>
        <w:footnoteRef/>
      </w:r>
      <w:r>
        <w:t xml:space="preserve"> Brantes, F., Rastogi A., Painter, M. (2010).  Reducing Potentially Avoidable Complications in Patients with Chronic Diseases: The Prometheus Payment Approach.  </w:t>
      </w:r>
      <w:r>
        <w:rPr>
          <w:i/>
        </w:rPr>
        <w:t>Health Services Research,</w:t>
      </w:r>
      <w:r>
        <w:t xml:space="preserve"> 45(60, 1854-1871.</w:t>
      </w:r>
    </w:p>
  </w:footnote>
  <w:footnote w:id="22">
    <w:p w14:paraId="32C845DE" w14:textId="77777777" w:rsidR="00204249" w:rsidRPr="00153ECC" w:rsidRDefault="00204249" w:rsidP="000F5D0D">
      <w:pPr>
        <w:pStyle w:val="FootnoteText"/>
      </w:pPr>
      <w:r w:rsidRPr="00153ECC">
        <w:rPr>
          <w:rStyle w:val="FootnoteReference"/>
        </w:rPr>
        <w:footnoteRef/>
      </w:r>
      <w:r w:rsidRPr="00153ECC">
        <w:t xml:space="preserve"> de Brantes, F.</w:t>
      </w:r>
      <w:r>
        <w:t>, Rastogi, A., Painter, M. (2010</w:t>
      </w:r>
      <w:r w:rsidRPr="00153ECC">
        <w:t xml:space="preserve">). </w:t>
      </w:r>
      <w:r>
        <w:t>Reducing potentially avoidable complications in patients with chronic diseases: the Prometheus Payment approach</w:t>
      </w:r>
      <w:r w:rsidRPr="00153ECC">
        <w:t xml:space="preserve">. </w:t>
      </w:r>
      <w:r>
        <w:rPr>
          <w:i/>
        </w:rPr>
        <w:t xml:space="preserve">Health Services </w:t>
      </w:r>
      <w:r w:rsidRPr="00153ECC">
        <w:rPr>
          <w:i/>
        </w:rPr>
        <w:t>Research</w:t>
      </w:r>
      <w:r w:rsidRPr="00153ECC">
        <w:t>, 4</w:t>
      </w:r>
      <w:r>
        <w:t>5(6p2</w:t>
      </w:r>
      <w:r w:rsidRPr="00153ECC">
        <w:t xml:space="preserve">), </w:t>
      </w:r>
      <w:r>
        <w:t>1854-1871</w:t>
      </w:r>
      <w:r w:rsidRPr="00153ECC">
        <w:t>.</w:t>
      </w:r>
    </w:p>
  </w:footnote>
  <w:footnote w:id="23">
    <w:p w14:paraId="482D345C" w14:textId="77777777" w:rsidR="00204249" w:rsidRDefault="00204249" w:rsidP="00134AB3">
      <w:pPr>
        <w:pStyle w:val="FootnoteText"/>
      </w:pPr>
      <w:r>
        <w:rPr>
          <w:rStyle w:val="FootnoteReference"/>
        </w:rPr>
        <w:footnoteRef/>
      </w:r>
      <w:r>
        <w:t xml:space="preserve"> Carriers whose data were retained in analysis were Blue Cross Blue Shield of Massachusetts, Harvard Pilgrim Health Care, and ConnectiCare.</w:t>
      </w:r>
    </w:p>
  </w:footnote>
  <w:footnote w:id="24">
    <w:p w14:paraId="093E77AE" w14:textId="77777777" w:rsidR="00204249" w:rsidRPr="0087698D" w:rsidRDefault="00204249" w:rsidP="00287CE1">
      <w:pPr>
        <w:pStyle w:val="FootnoteText"/>
      </w:pPr>
      <w:r>
        <w:rPr>
          <w:rStyle w:val="FootnoteReference"/>
        </w:rPr>
        <w:footnoteRef/>
      </w:r>
      <w:r>
        <w:t xml:space="preserve"> For more information about the logic and algorithm of Prometheus Payment Model, please see the ECR Manual Version 3.5.2. Available at: </w:t>
      </w:r>
      <w:hyperlink r:id="rId6" w:history="1">
        <w:r w:rsidRPr="00BF1EFE">
          <w:rPr>
            <w:rStyle w:val="Hyperlink"/>
          </w:rPr>
          <w:t>http://www.prometheuspayment.org/sites/default/files/files/Prometheus%20ECR%20Manual%20V3_5_2.pdf</w:t>
        </w:r>
      </w:hyperlink>
      <w:r>
        <w:rPr>
          <w:rStyle w:val="Hyperlink"/>
        </w:rPr>
        <w:t xml:space="preserve"> </w:t>
      </w:r>
      <w:r>
        <w:rPr>
          <w:rStyle w:val="Hyperlink"/>
          <w:color w:val="auto"/>
          <w:u w:val="none"/>
        </w:rPr>
        <w:t>(Accessed August 20, 2013).</w:t>
      </w:r>
    </w:p>
  </w:footnote>
  <w:footnote w:id="25">
    <w:p w14:paraId="3C8201E9" w14:textId="77777777" w:rsidR="00204249" w:rsidRDefault="00204249" w:rsidP="00287CE1">
      <w:pPr>
        <w:pStyle w:val="FootnoteText"/>
      </w:pPr>
      <w:r>
        <w:rPr>
          <w:rStyle w:val="FootnoteReference"/>
        </w:rPr>
        <w:footnoteRef/>
      </w:r>
      <w:r>
        <w:t xml:space="preserve"> Masspro, Inc (2010). ECR Manual Version 3.5.2. Health Care Incentives Improvement Institute, Inc.</w:t>
      </w:r>
    </w:p>
  </w:footnote>
  <w:footnote w:id="26">
    <w:p w14:paraId="62902E38" w14:textId="77777777" w:rsidR="00204249" w:rsidRDefault="00204249" w:rsidP="00134AB3">
      <w:pPr>
        <w:pStyle w:val="FootnoteText"/>
      </w:pPr>
      <w:r>
        <w:rPr>
          <w:rStyle w:val="FootnoteReference"/>
        </w:rPr>
        <w:footnoteRef/>
      </w:r>
      <w:r>
        <w:t xml:space="preserve"> The Prometheus manual directs users to define inpatient claims as those with a Type of Bill code of 11. The revenue codes listed here were added to this definition in consultation with staff at the Health Care Incentives Improvement Institute, so that this analysis would not be biased by a large number of claims that were missing the Type of Bill code.</w:t>
      </w:r>
    </w:p>
  </w:footnote>
  <w:footnote w:id="27">
    <w:p w14:paraId="504A0DBC" w14:textId="77777777" w:rsidR="00204249" w:rsidRDefault="00204249" w:rsidP="00134AB3">
      <w:pPr>
        <w:pStyle w:val="FootnoteText"/>
      </w:pPr>
      <w:r>
        <w:rPr>
          <w:rStyle w:val="FootnoteReference"/>
        </w:rPr>
        <w:footnoteRef/>
      </w:r>
      <w:r>
        <w:t xml:space="preserve"> Because some claims in the raw data were missing the place of service code, this field was imputed for those records by coding the place of service as emergency room if the CPT procedure code (99281-99285) or revenue code (451-459, 981) indicated emergency room service. The same imputation was used for the non-inpatient claims. As with the modification to the inpatient definition above, this imputation logic was developed in consultation with staff at the Health Care Incentives Improvement Institute.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E6DD" w14:textId="77777777" w:rsidR="00204249" w:rsidRDefault="00204249">
    <w:pPr>
      <w:pStyle w:val="Header"/>
    </w:pPr>
    <w:r>
      <w:ptab w:relativeTo="margin" w:alignment="center" w:leader="none"/>
    </w:r>
    <w:r>
      <w:ptab w:relativeTo="margin" w:alignment="right" w:leader="none"/>
    </w:r>
    <w:r>
      <w:fldChar w:fldCharType="begin"/>
    </w:r>
    <w:r>
      <w:instrText xml:space="preserve"> DATE \@ "M/d/yyyy" </w:instrText>
    </w:r>
    <w:r>
      <w:fldChar w:fldCharType="separate"/>
    </w:r>
    <w:r>
      <w:rPr>
        <w:noProof/>
      </w:rPr>
      <w:t>8/23/2013</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01A"/>
    <w:multiLevelType w:val="hybridMultilevel"/>
    <w:tmpl w:val="A970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15999"/>
    <w:multiLevelType w:val="hybridMultilevel"/>
    <w:tmpl w:val="31DC1838"/>
    <w:lvl w:ilvl="0" w:tplc="9D06566E">
      <w:start w:val="1"/>
      <w:numFmt w:val="bullet"/>
      <w:lvlText w:val="•"/>
      <w:lvlJc w:val="left"/>
      <w:pPr>
        <w:tabs>
          <w:tab w:val="num" w:pos="720"/>
        </w:tabs>
        <w:ind w:left="720" w:hanging="360"/>
      </w:pPr>
      <w:rPr>
        <w:rFonts w:ascii="Arial" w:hAnsi="Arial" w:hint="default"/>
      </w:rPr>
    </w:lvl>
    <w:lvl w:ilvl="1" w:tplc="18CA7D22" w:tentative="1">
      <w:start w:val="1"/>
      <w:numFmt w:val="bullet"/>
      <w:lvlText w:val="•"/>
      <w:lvlJc w:val="left"/>
      <w:pPr>
        <w:tabs>
          <w:tab w:val="num" w:pos="1440"/>
        </w:tabs>
        <w:ind w:left="1440" w:hanging="360"/>
      </w:pPr>
      <w:rPr>
        <w:rFonts w:ascii="Arial" w:hAnsi="Arial" w:hint="default"/>
      </w:rPr>
    </w:lvl>
    <w:lvl w:ilvl="2" w:tplc="28080D96" w:tentative="1">
      <w:start w:val="1"/>
      <w:numFmt w:val="bullet"/>
      <w:lvlText w:val="•"/>
      <w:lvlJc w:val="left"/>
      <w:pPr>
        <w:tabs>
          <w:tab w:val="num" w:pos="2160"/>
        </w:tabs>
        <w:ind w:left="2160" w:hanging="360"/>
      </w:pPr>
      <w:rPr>
        <w:rFonts w:ascii="Arial" w:hAnsi="Arial" w:hint="default"/>
      </w:rPr>
    </w:lvl>
    <w:lvl w:ilvl="3" w:tplc="7CF444C6" w:tentative="1">
      <w:start w:val="1"/>
      <w:numFmt w:val="bullet"/>
      <w:lvlText w:val="•"/>
      <w:lvlJc w:val="left"/>
      <w:pPr>
        <w:tabs>
          <w:tab w:val="num" w:pos="2880"/>
        </w:tabs>
        <w:ind w:left="2880" w:hanging="360"/>
      </w:pPr>
      <w:rPr>
        <w:rFonts w:ascii="Arial" w:hAnsi="Arial" w:hint="default"/>
      </w:rPr>
    </w:lvl>
    <w:lvl w:ilvl="4" w:tplc="C85E6F36" w:tentative="1">
      <w:start w:val="1"/>
      <w:numFmt w:val="bullet"/>
      <w:lvlText w:val="•"/>
      <w:lvlJc w:val="left"/>
      <w:pPr>
        <w:tabs>
          <w:tab w:val="num" w:pos="3600"/>
        </w:tabs>
        <w:ind w:left="3600" w:hanging="360"/>
      </w:pPr>
      <w:rPr>
        <w:rFonts w:ascii="Arial" w:hAnsi="Arial" w:hint="default"/>
      </w:rPr>
    </w:lvl>
    <w:lvl w:ilvl="5" w:tplc="D158CC2C" w:tentative="1">
      <w:start w:val="1"/>
      <w:numFmt w:val="bullet"/>
      <w:lvlText w:val="•"/>
      <w:lvlJc w:val="left"/>
      <w:pPr>
        <w:tabs>
          <w:tab w:val="num" w:pos="4320"/>
        </w:tabs>
        <w:ind w:left="4320" w:hanging="360"/>
      </w:pPr>
      <w:rPr>
        <w:rFonts w:ascii="Arial" w:hAnsi="Arial" w:hint="default"/>
      </w:rPr>
    </w:lvl>
    <w:lvl w:ilvl="6" w:tplc="56EC0C3A" w:tentative="1">
      <w:start w:val="1"/>
      <w:numFmt w:val="bullet"/>
      <w:lvlText w:val="•"/>
      <w:lvlJc w:val="left"/>
      <w:pPr>
        <w:tabs>
          <w:tab w:val="num" w:pos="5040"/>
        </w:tabs>
        <w:ind w:left="5040" w:hanging="360"/>
      </w:pPr>
      <w:rPr>
        <w:rFonts w:ascii="Arial" w:hAnsi="Arial" w:hint="default"/>
      </w:rPr>
    </w:lvl>
    <w:lvl w:ilvl="7" w:tplc="5CC2FD50" w:tentative="1">
      <w:start w:val="1"/>
      <w:numFmt w:val="bullet"/>
      <w:lvlText w:val="•"/>
      <w:lvlJc w:val="left"/>
      <w:pPr>
        <w:tabs>
          <w:tab w:val="num" w:pos="5760"/>
        </w:tabs>
        <w:ind w:left="5760" w:hanging="360"/>
      </w:pPr>
      <w:rPr>
        <w:rFonts w:ascii="Arial" w:hAnsi="Arial" w:hint="default"/>
      </w:rPr>
    </w:lvl>
    <w:lvl w:ilvl="8" w:tplc="B30E9F38" w:tentative="1">
      <w:start w:val="1"/>
      <w:numFmt w:val="bullet"/>
      <w:lvlText w:val="•"/>
      <w:lvlJc w:val="left"/>
      <w:pPr>
        <w:tabs>
          <w:tab w:val="num" w:pos="6480"/>
        </w:tabs>
        <w:ind w:left="6480" w:hanging="360"/>
      </w:pPr>
      <w:rPr>
        <w:rFonts w:ascii="Arial" w:hAnsi="Arial" w:hint="default"/>
      </w:rPr>
    </w:lvl>
  </w:abstractNum>
  <w:abstractNum w:abstractNumId="2">
    <w:nsid w:val="0EB445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5B3C42"/>
    <w:multiLevelType w:val="hybridMultilevel"/>
    <w:tmpl w:val="697E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06786"/>
    <w:multiLevelType w:val="hybridMultilevel"/>
    <w:tmpl w:val="E4843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CC7E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8404B"/>
    <w:multiLevelType w:val="hybridMultilevel"/>
    <w:tmpl w:val="7CAA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005CA4"/>
    <w:multiLevelType w:val="hybridMultilevel"/>
    <w:tmpl w:val="9E5CD4F2"/>
    <w:lvl w:ilvl="0" w:tplc="EEEEC782">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E1DE7"/>
    <w:multiLevelType w:val="multilevel"/>
    <w:tmpl w:val="A3AC829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6AF259E"/>
    <w:multiLevelType w:val="hybridMultilevel"/>
    <w:tmpl w:val="91F6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D78F9"/>
    <w:multiLevelType w:val="hybridMultilevel"/>
    <w:tmpl w:val="5912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800F6"/>
    <w:multiLevelType w:val="hybridMultilevel"/>
    <w:tmpl w:val="3DA0A854"/>
    <w:lvl w:ilvl="0" w:tplc="400C9220">
      <w:start w:val="1"/>
      <w:numFmt w:val="bullet"/>
      <w:lvlText w:val="•"/>
      <w:lvlJc w:val="left"/>
      <w:pPr>
        <w:tabs>
          <w:tab w:val="num" w:pos="720"/>
        </w:tabs>
        <w:ind w:left="720" w:hanging="360"/>
      </w:pPr>
      <w:rPr>
        <w:rFonts w:ascii="Arial" w:hAnsi="Arial" w:hint="default"/>
      </w:rPr>
    </w:lvl>
    <w:lvl w:ilvl="1" w:tplc="5FD8473C">
      <w:start w:val="1"/>
      <w:numFmt w:val="bullet"/>
      <w:lvlText w:val="•"/>
      <w:lvlJc w:val="left"/>
      <w:pPr>
        <w:tabs>
          <w:tab w:val="num" w:pos="1440"/>
        </w:tabs>
        <w:ind w:left="1440" w:hanging="360"/>
      </w:pPr>
      <w:rPr>
        <w:rFonts w:ascii="Arial" w:hAnsi="Arial" w:hint="default"/>
      </w:rPr>
    </w:lvl>
    <w:lvl w:ilvl="2" w:tplc="385C8938" w:tentative="1">
      <w:start w:val="1"/>
      <w:numFmt w:val="bullet"/>
      <w:lvlText w:val="•"/>
      <w:lvlJc w:val="left"/>
      <w:pPr>
        <w:tabs>
          <w:tab w:val="num" w:pos="2160"/>
        </w:tabs>
        <w:ind w:left="2160" w:hanging="360"/>
      </w:pPr>
      <w:rPr>
        <w:rFonts w:ascii="Arial" w:hAnsi="Arial" w:hint="default"/>
      </w:rPr>
    </w:lvl>
    <w:lvl w:ilvl="3" w:tplc="8996C10C" w:tentative="1">
      <w:start w:val="1"/>
      <w:numFmt w:val="bullet"/>
      <w:lvlText w:val="•"/>
      <w:lvlJc w:val="left"/>
      <w:pPr>
        <w:tabs>
          <w:tab w:val="num" w:pos="2880"/>
        </w:tabs>
        <w:ind w:left="2880" w:hanging="360"/>
      </w:pPr>
      <w:rPr>
        <w:rFonts w:ascii="Arial" w:hAnsi="Arial" w:hint="default"/>
      </w:rPr>
    </w:lvl>
    <w:lvl w:ilvl="4" w:tplc="8A9CEBC2" w:tentative="1">
      <w:start w:val="1"/>
      <w:numFmt w:val="bullet"/>
      <w:lvlText w:val="•"/>
      <w:lvlJc w:val="left"/>
      <w:pPr>
        <w:tabs>
          <w:tab w:val="num" w:pos="3600"/>
        </w:tabs>
        <w:ind w:left="3600" w:hanging="360"/>
      </w:pPr>
      <w:rPr>
        <w:rFonts w:ascii="Arial" w:hAnsi="Arial" w:hint="default"/>
      </w:rPr>
    </w:lvl>
    <w:lvl w:ilvl="5" w:tplc="293C5092" w:tentative="1">
      <w:start w:val="1"/>
      <w:numFmt w:val="bullet"/>
      <w:lvlText w:val="•"/>
      <w:lvlJc w:val="left"/>
      <w:pPr>
        <w:tabs>
          <w:tab w:val="num" w:pos="4320"/>
        </w:tabs>
        <w:ind w:left="4320" w:hanging="360"/>
      </w:pPr>
      <w:rPr>
        <w:rFonts w:ascii="Arial" w:hAnsi="Arial" w:hint="default"/>
      </w:rPr>
    </w:lvl>
    <w:lvl w:ilvl="6" w:tplc="601A1960" w:tentative="1">
      <w:start w:val="1"/>
      <w:numFmt w:val="bullet"/>
      <w:lvlText w:val="•"/>
      <w:lvlJc w:val="left"/>
      <w:pPr>
        <w:tabs>
          <w:tab w:val="num" w:pos="5040"/>
        </w:tabs>
        <w:ind w:left="5040" w:hanging="360"/>
      </w:pPr>
      <w:rPr>
        <w:rFonts w:ascii="Arial" w:hAnsi="Arial" w:hint="default"/>
      </w:rPr>
    </w:lvl>
    <w:lvl w:ilvl="7" w:tplc="EE060AE0" w:tentative="1">
      <w:start w:val="1"/>
      <w:numFmt w:val="bullet"/>
      <w:lvlText w:val="•"/>
      <w:lvlJc w:val="left"/>
      <w:pPr>
        <w:tabs>
          <w:tab w:val="num" w:pos="5760"/>
        </w:tabs>
        <w:ind w:left="5760" w:hanging="360"/>
      </w:pPr>
      <w:rPr>
        <w:rFonts w:ascii="Arial" w:hAnsi="Arial" w:hint="default"/>
      </w:rPr>
    </w:lvl>
    <w:lvl w:ilvl="8" w:tplc="6E7E5D64" w:tentative="1">
      <w:start w:val="1"/>
      <w:numFmt w:val="bullet"/>
      <w:lvlText w:val="•"/>
      <w:lvlJc w:val="left"/>
      <w:pPr>
        <w:tabs>
          <w:tab w:val="num" w:pos="6480"/>
        </w:tabs>
        <w:ind w:left="6480" w:hanging="360"/>
      </w:pPr>
      <w:rPr>
        <w:rFonts w:ascii="Arial" w:hAnsi="Arial" w:hint="default"/>
      </w:rPr>
    </w:lvl>
  </w:abstractNum>
  <w:abstractNum w:abstractNumId="12">
    <w:nsid w:val="48F65858"/>
    <w:multiLevelType w:val="hybridMultilevel"/>
    <w:tmpl w:val="ED6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02BF"/>
    <w:multiLevelType w:val="hybridMultilevel"/>
    <w:tmpl w:val="260E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33C49"/>
    <w:multiLevelType w:val="hybridMultilevel"/>
    <w:tmpl w:val="1F5E991E"/>
    <w:lvl w:ilvl="0" w:tplc="A0E2AF0A">
      <w:start w:val="1"/>
      <w:numFmt w:val="decimal"/>
      <w:lvlText w:val="%1."/>
      <w:lvlJc w:val="left"/>
      <w:pPr>
        <w:ind w:left="720" w:hanging="360"/>
      </w:pPr>
      <w:rPr>
        <w:rFonts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33405"/>
    <w:multiLevelType w:val="hybridMultilevel"/>
    <w:tmpl w:val="6FD2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AE3139"/>
    <w:multiLevelType w:val="hybridMultilevel"/>
    <w:tmpl w:val="BC86CF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967AA"/>
    <w:multiLevelType w:val="hybridMultilevel"/>
    <w:tmpl w:val="50D44404"/>
    <w:lvl w:ilvl="0" w:tplc="D8D29178">
      <w:start w:val="1"/>
      <w:numFmt w:val="bullet"/>
      <w:lvlText w:val="-"/>
      <w:lvlJc w:val="left"/>
      <w:pPr>
        <w:tabs>
          <w:tab w:val="num" w:pos="720"/>
        </w:tabs>
        <w:ind w:left="720" w:hanging="360"/>
      </w:pPr>
      <w:rPr>
        <w:rFonts w:ascii="Times New Roman" w:hAnsi="Times New Roman" w:hint="default"/>
      </w:rPr>
    </w:lvl>
    <w:lvl w:ilvl="1" w:tplc="26E6982C">
      <w:start w:val="1"/>
      <w:numFmt w:val="bullet"/>
      <w:lvlText w:val="-"/>
      <w:lvlJc w:val="left"/>
      <w:pPr>
        <w:tabs>
          <w:tab w:val="num" w:pos="1440"/>
        </w:tabs>
        <w:ind w:left="1440" w:hanging="360"/>
      </w:pPr>
      <w:rPr>
        <w:rFonts w:ascii="Times New Roman" w:hAnsi="Times New Roman" w:hint="default"/>
      </w:rPr>
    </w:lvl>
    <w:lvl w:ilvl="2" w:tplc="6B8C623C" w:tentative="1">
      <w:start w:val="1"/>
      <w:numFmt w:val="bullet"/>
      <w:lvlText w:val="-"/>
      <w:lvlJc w:val="left"/>
      <w:pPr>
        <w:tabs>
          <w:tab w:val="num" w:pos="2160"/>
        </w:tabs>
        <w:ind w:left="2160" w:hanging="360"/>
      </w:pPr>
      <w:rPr>
        <w:rFonts w:ascii="Times New Roman" w:hAnsi="Times New Roman" w:hint="default"/>
      </w:rPr>
    </w:lvl>
    <w:lvl w:ilvl="3" w:tplc="1B7256DE" w:tentative="1">
      <w:start w:val="1"/>
      <w:numFmt w:val="bullet"/>
      <w:lvlText w:val="-"/>
      <w:lvlJc w:val="left"/>
      <w:pPr>
        <w:tabs>
          <w:tab w:val="num" w:pos="2880"/>
        </w:tabs>
        <w:ind w:left="2880" w:hanging="360"/>
      </w:pPr>
      <w:rPr>
        <w:rFonts w:ascii="Times New Roman" w:hAnsi="Times New Roman" w:hint="default"/>
      </w:rPr>
    </w:lvl>
    <w:lvl w:ilvl="4" w:tplc="E1121A04" w:tentative="1">
      <w:start w:val="1"/>
      <w:numFmt w:val="bullet"/>
      <w:lvlText w:val="-"/>
      <w:lvlJc w:val="left"/>
      <w:pPr>
        <w:tabs>
          <w:tab w:val="num" w:pos="3600"/>
        </w:tabs>
        <w:ind w:left="3600" w:hanging="360"/>
      </w:pPr>
      <w:rPr>
        <w:rFonts w:ascii="Times New Roman" w:hAnsi="Times New Roman" w:hint="default"/>
      </w:rPr>
    </w:lvl>
    <w:lvl w:ilvl="5" w:tplc="5EF2BEBA" w:tentative="1">
      <w:start w:val="1"/>
      <w:numFmt w:val="bullet"/>
      <w:lvlText w:val="-"/>
      <w:lvlJc w:val="left"/>
      <w:pPr>
        <w:tabs>
          <w:tab w:val="num" w:pos="4320"/>
        </w:tabs>
        <w:ind w:left="4320" w:hanging="360"/>
      </w:pPr>
      <w:rPr>
        <w:rFonts w:ascii="Times New Roman" w:hAnsi="Times New Roman" w:hint="default"/>
      </w:rPr>
    </w:lvl>
    <w:lvl w:ilvl="6" w:tplc="A0323D4A" w:tentative="1">
      <w:start w:val="1"/>
      <w:numFmt w:val="bullet"/>
      <w:lvlText w:val="-"/>
      <w:lvlJc w:val="left"/>
      <w:pPr>
        <w:tabs>
          <w:tab w:val="num" w:pos="5040"/>
        </w:tabs>
        <w:ind w:left="5040" w:hanging="360"/>
      </w:pPr>
      <w:rPr>
        <w:rFonts w:ascii="Times New Roman" w:hAnsi="Times New Roman" w:hint="default"/>
      </w:rPr>
    </w:lvl>
    <w:lvl w:ilvl="7" w:tplc="BE3A2B22" w:tentative="1">
      <w:start w:val="1"/>
      <w:numFmt w:val="bullet"/>
      <w:lvlText w:val="-"/>
      <w:lvlJc w:val="left"/>
      <w:pPr>
        <w:tabs>
          <w:tab w:val="num" w:pos="5760"/>
        </w:tabs>
        <w:ind w:left="5760" w:hanging="360"/>
      </w:pPr>
      <w:rPr>
        <w:rFonts w:ascii="Times New Roman" w:hAnsi="Times New Roman" w:hint="default"/>
      </w:rPr>
    </w:lvl>
    <w:lvl w:ilvl="8" w:tplc="0F3CAF4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5AC7B15"/>
    <w:multiLevelType w:val="hybridMultilevel"/>
    <w:tmpl w:val="EDE4CE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A54239"/>
    <w:multiLevelType w:val="hybridMultilevel"/>
    <w:tmpl w:val="3B188210"/>
    <w:lvl w:ilvl="0" w:tplc="E6280B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BF315C"/>
    <w:multiLevelType w:val="hybridMultilevel"/>
    <w:tmpl w:val="59161F52"/>
    <w:lvl w:ilvl="0" w:tplc="03926DE6">
      <w:start w:val="1"/>
      <w:numFmt w:val="bullet"/>
      <w:lvlText w:val="•"/>
      <w:lvlJc w:val="left"/>
      <w:pPr>
        <w:tabs>
          <w:tab w:val="num" w:pos="720"/>
        </w:tabs>
        <w:ind w:left="720" w:hanging="360"/>
      </w:pPr>
      <w:rPr>
        <w:rFonts w:ascii="Times New Roman" w:hAnsi="Times New Roman" w:hint="default"/>
      </w:rPr>
    </w:lvl>
    <w:lvl w:ilvl="1" w:tplc="832217AC" w:tentative="1">
      <w:start w:val="1"/>
      <w:numFmt w:val="bullet"/>
      <w:lvlText w:val="•"/>
      <w:lvlJc w:val="left"/>
      <w:pPr>
        <w:tabs>
          <w:tab w:val="num" w:pos="1440"/>
        </w:tabs>
        <w:ind w:left="1440" w:hanging="360"/>
      </w:pPr>
      <w:rPr>
        <w:rFonts w:ascii="Times New Roman" w:hAnsi="Times New Roman" w:hint="default"/>
      </w:rPr>
    </w:lvl>
    <w:lvl w:ilvl="2" w:tplc="7F58BA96" w:tentative="1">
      <w:start w:val="1"/>
      <w:numFmt w:val="bullet"/>
      <w:lvlText w:val="•"/>
      <w:lvlJc w:val="left"/>
      <w:pPr>
        <w:tabs>
          <w:tab w:val="num" w:pos="2160"/>
        </w:tabs>
        <w:ind w:left="2160" w:hanging="360"/>
      </w:pPr>
      <w:rPr>
        <w:rFonts w:ascii="Times New Roman" w:hAnsi="Times New Roman" w:hint="default"/>
      </w:rPr>
    </w:lvl>
    <w:lvl w:ilvl="3" w:tplc="C1D8EC66" w:tentative="1">
      <w:start w:val="1"/>
      <w:numFmt w:val="bullet"/>
      <w:lvlText w:val="•"/>
      <w:lvlJc w:val="left"/>
      <w:pPr>
        <w:tabs>
          <w:tab w:val="num" w:pos="2880"/>
        </w:tabs>
        <w:ind w:left="2880" w:hanging="360"/>
      </w:pPr>
      <w:rPr>
        <w:rFonts w:ascii="Times New Roman" w:hAnsi="Times New Roman" w:hint="default"/>
      </w:rPr>
    </w:lvl>
    <w:lvl w:ilvl="4" w:tplc="C388B57C" w:tentative="1">
      <w:start w:val="1"/>
      <w:numFmt w:val="bullet"/>
      <w:lvlText w:val="•"/>
      <w:lvlJc w:val="left"/>
      <w:pPr>
        <w:tabs>
          <w:tab w:val="num" w:pos="3600"/>
        </w:tabs>
        <w:ind w:left="3600" w:hanging="360"/>
      </w:pPr>
      <w:rPr>
        <w:rFonts w:ascii="Times New Roman" w:hAnsi="Times New Roman" w:hint="default"/>
      </w:rPr>
    </w:lvl>
    <w:lvl w:ilvl="5" w:tplc="EF46F6F4" w:tentative="1">
      <w:start w:val="1"/>
      <w:numFmt w:val="bullet"/>
      <w:lvlText w:val="•"/>
      <w:lvlJc w:val="left"/>
      <w:pPr>
        <w:tabs>
          <w:tab w:val="num" w:pos="4320"/>
        </w:tabs>
        <w:ind w:left="4320" w:hanging="360"/>
      </w:pPr>
      <w:rPr>
        <w:rFonts w:ascii="Times New Roman" w:hAnsi="Times New Roman" w:hint="default"/>
      </w:rPr>
    </w:lvl>
    <w:lvl w:ilvl="6" w:tplc="73C609E6" w:tentative="1">
      <w:start w:val="1"/>
      <w:numFmt w:val="bullet"/>
      <w:lvlText w:val="•"/>
      <w:lvlJc w:val="left"/>
      <w:pPr>
        <w:tabs>
          <w:tab w:val="num" w:pos="5040"/>
        </w:tabs>
        <w:ind w:left="5040" w:hanging="360"/>
      </w:pPr>
      <w:rPr>
        <w:rFonts w:ascii="Times New Roman" w:hAnsi="Times New Roman" w:hint="default"/>
      </w:rPr>
    </w:lvl>
    <w:lvl w:ilvl="7" w:tplc="0706AA40" w:tentative="1">
      <w:start w:val="1"/>
      <w:numFmt w:val="bullet"/>
      <w:lvlText w:val="•"/>
      <w:lvlJc w:val="left"/>
      <w:pPr>
        <w:tabs>
          <w:tab w:val="num" w:pos="5760"/>
        </w:tabs>
        <w:ind w:left="5760" w:hanging="360"/>
      </w:pPr>
      <w:rPr>
        <w:rFonts w:ascii="Times New Roman" w:hAnsi="Times New Roman" w:hint="default"/>
      </w:rPr>
    </w:lvl>
    <w:lvl w:ilvl="8" w:tplc="DC28810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FC01F9D"/>
    <w:multiLevelType w:val="hybridMultilevel"/>
    <w:tmpl w:val="A3F43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B2CEE"/>
    <w:multiLevelType w:val="hybridMultilevel"/>
    <w:tmpl w:val="3FC2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0E75D3"/>
    <w:multiLevelType w:val="multilevel"/>
    <w:tmpl w:val="00B6B6B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13D6EC2"/>
    <w:multiLevelType w:val="hybridMultilevel"/>
    <w:tmpl w:val="B276EE6C"/>
    <w:lvl w:ilvl="0" w:tplc="6038D3A4">
      <w:start w:val="1"/>
      <w:numFmt w:val="bullet"/>
      <w:lvlText w:val="•"/>
      <w:lvlJc w:val="left"/>
      <w:pPr>
        <w:tabs>
          <w:tab w:val="num" w:pos="720"/>
        </w:tabs>
        <w:ind w:left="720" w:hanging="360"/>
      </w:pPr>
      <w:rPr>
        <w:rFonts w:ascii="Arial" w:hAnsi="Arial" w:hint="default"/>
      </w:rPr>
    </w:lvl>
    <w:lvl w:ilvl="1" w:tplc="E5D01BEE" w:tentative="1">
      <w:start w:val="1"/>
      <w:numFmt w:val="bullet"/>
      <w:lvlText w:val="•"/>
      <w:lvlJc w:val="left"/>
      <w:pPr>
        <w:tabs>
          <w:tab w:val="num" w:pos="1440"/>
        </w:tabs>
        <w:ind w:left="1440" w:hanging="360"/>
      </w:pPr>
      <w:rPr>
        <w:rFonts w:ascii="Arial" w:hAnsi="Arial" w:hint="default"/>
      </w:rPr>
    </w:lvl>
    <w:lvl w:ilvl="2" w:tplc="ED186D64" w:tentative="1">
      <w:start w:val="1"/>
      <w:numFmt w:val="bullet"/>
      <w:lvlText w:val="•"/>
      <w:lvlJc w:val="left"/>
      <w:pPr>
        <w:tabs>
          <w:tab w:val="num" w:pos="2160"/>
        </w:tabs>
        <w:ind w:left="2160" w:hanging="360"/>
      </w:pPr>
      <w:rPr>
        <w:rFonts w:ascii="Arial" w:hAnsi="Arial" w:hint="default"/>
      </w:rPr>
    </w:lvl>
    <w:lvl w:ilvl="3" w:tplc="3848B41A" w:tentative="1">
      <w:start w:val="1"/>
      <w:numFmt w:val="bullet"/>
      <w:lvlText w:val="•"/>
      <w:lvlJc w:val="left"/>
      <w:pPr>
        <w:tabs>
          <w:tab w:val="num" w:pos="2880"/>
        </w:tabs>
        <w:ind w:left="2880" w:hanging="360"/>
      </w:pPr>
      <w:rPr>
        <w:rFonts w:ascii="Arial" w:hAnsi="Arial" w:hint="default"/>
      </w:rPr>
    </w:lvl>
    <w:lvl w:ilvl="4" w:tplc="B9629830" w:tentative="1">
      <w:start w:val="1"/>
      <w:numFmt w:val="bullet"/>
      <w:lvlText w:val="•"/>
      <w:lvlJc w:val="left"/>
      <w:pPr>
        <w:tabs>
          <w:tab w:val="num" w:pos="3600"/>
        </w:tabs>
        <w:ind w:left="3600" w:hanging="360"/>
      </w:pPr>
      <w:rPr>
        <w:rFonts w:ascii="Arial" w:hAnsi="Arial" w:hint="default"/>
      </w:rPr>
    </w:lvl>
    <w:lvl w:ilvl="5" w:tplc="125A8714" w:tentative="1">
      <w:start w:val="1"/>
      <w:numFmt w:val="bullet"/>
      <w:lvlText w:val="•"/>
      <w:lvlJc w:val="left"/>
      <w:pPr>
        <w:tabs>
          <w:tab w:val="num" w:pos="4320"/>
        </w:tabs>
        <w:ind w:left="4320" w:hanging="360"/>
      </w:pPr>
      <w:rPr>
        <w:rFonts w:ascii="Arial" w:hAnsi="Arial" w:hint="default"/>
      </w:rPr>
    </w:lvl>
    <w:lvl w:ilvl="6" w:tplc="773001C0" w:tentative="1">
      <w:start w:val="1"/>
      <w:numFmt w:val="bullet"/>
      <w:lvlText w:val="•"/>
      <w:lvlJc w:val="left"/>
      <w:pPr>
        <w:tabs>
          <w:tab w:val="num" w:pos="5040"/>
        </w:tabs>
        <w:ind w:left="5040" w:hanging="360"/>
      </w:pPr>
      <w:rPr>
        <w:rFonts w:ascii="Arial" w:hAnsi="Arial" w:hint="default"/>
      </w:rPr>
    </w:lvl>
    <w:lvl w:ilvl="7" w:tplc="9ECEB158" w:tentative="1">
      <w:start w:val="1"/>
      <w:numFmt w:val="bullet"/>
      <w:lvlText w:val="•"/>
      <w:lvlJc w:val="left"/>
      <w:pPr>
        <w:tabs>
          <w:tab w:val="num" w:pos="5760"/>
        </w:tabs>
        <w:ind w:left="5760" w:hanging="360"/>
      </w:pPr>
      <w:rPr>
        <w:rFonts w:ascii="Arial" w:hAnsi="Arial" w:hint="default"/>
      </w:rPr>
    </w:lvl>
    <w:lvl w:ilvl="8" w:tplc="18DC18C4" w:tentative="1">
      <w:start w:val="1"/>
      <w:numFmt w:val="bullet"/>
      <w:lvlText w:val="•"/>
      <w:lvlJc w:val="left"/>
      <w:pPr>
        <w:tabs>
          <w:tab w:val="num" w:pos="6480"/>
        </w:tabs>
        <w:ind w:left="6480" w:hanging="360"/>
      </w:pPr>
      <w:rPr>
        <w:rFonts w:ascii="Arial" w:hAnsi="Arial" w:hint="default"/>
      </w:rPr>
    </w:lvl>
  </w:abstractNum>
  <w:abstractNum w:abstractNumId="25">
    <w:nsid w:val="77831FAB"/>
    <w:multiLevelType w:val="hybridMultilevel"/>
    <w:tmpl w:val="47D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9432F0"/>
    <w:multiLevelType w:val="hybridMultilevel"/>
    <w:tmpl w:val="9F8EB7C8"/>
    <w:lvl w:ilvl="0" w:tplc="1D3A9BB8">
      <w:start w:val="1"/>
      <w:numFmt w:val="bullet"/>
      <w:lvlText w:val="•"/>
      <w:lvlJc w:val="left"/>
      <w:pPr>
        <w:tabs>
          <w:tab w:val="num" w:pos="720"/>
        </w:tabs>
        <w:ind w:left="720" w:hanging="360"/>
      </w:pPr>
      <w:rPr>
        <w:rFonts w:ascii="Arial" w:hAnsi="Arial" w:hint="default"/>
      </w:rPr>
    </w:lvl>
    <w:lvl w:ilvl="1" w:tplc="71E28260" w:tentative="1">
      <w:start w:val="1"/>
      <w:numFmt w:val="bullet"/>
      <w:lvlText w:val="•"/>
      <w:lvlJc w:val="left"/>
      <w:pPr>
        <w:tabs>
          <w:tab w:val="num" w:pos="1440"/>
        </w:tabs>
        <w:ind w:left="1440" w:hanging="360"/>
      </w:pPr>
      <w:rPr>
        <w:rFonts w:ascii="Arial" w:hAnsi="Arial" w:hint="default"/>
      </w:rPr>
    </w:lvl>
    <w:lvl w:ilvl="2" w:tplc="3450469C" w:tentative="1">
      <w:start w:val="1"/>
      <w:numFmt w:val="bullet"/>
      <w:lvlText w:val="•"/>
      <w:lvlJc w:val="left"/>
      <w:pPr>
        <w:tabs>
          <w:tab w:val="num" w:pos="2160"/>
        </w:tabs>
        <w:ind w:left="2160" w:hanging="360"/>
      </w:pPr>
      <w:rPr>
        <w:rFonts w:ascii="Arial" w:hAnsi="Arial" w:hint="default"/>
      </w:rPr>
    </w:lvl>
    <w:lvl w:ilvl="3" w:tplc="3454D304" w:tentative="1">
      <w:start w:val="1"/>
      <w:numFmt w:val="bullet"/>
      <w:lvlText w:val="•"/>
      <w:lvlJc w:val="left"/>
      <w:pPr>
        <w:tabs>
          <w:tab w:val="num" w:pos="2880"/>
        </w:tabs>
        <w:ind w:left="2880" w:hanging="360"/>
      </w:pPr>
      <w:rPr>
        <w:rFonts w:ascii="Arial" w:hAnsi="Arial" w:hint="default"/>
      </w:rPr>
    </w:lvl>
    <w:lvl w:ilvl="4" w:tplc="F962DFFA" w:tentative="1">
      <w:start w:val="1"/>
      <w:numFmt w:val="bullet"/>
      <w:lvlText w:val="•"/>
      <w:lvlJc w:val="left"/>
      <w:pPr>
        <w:tabs>
          <w:tab w:val="num" w:pos="3600"/>
        </w:tabs>
        <w:ind w:left="3600" w:hanging="360"/>
      </w:pPr>
      <w:rPr>
        <w:rFonts w:ascii="Arial" w:hAnsi="Arial" w:hint="default"/>
      </w:rPr>
    </w:lvl>
    <w:lvl w:ilvl="5" w:tplc="3DA0A978" w:tentative="1">
      <w:start w:val="1"/>
      <w:numFmt w:val="bullet"/>
      <w:lvlText w:val="•"/>
      <w:lvlJc w:val="left"/>
      <w:pPr>
        <w:tabs>
          <w:tab w:val="num" w:pos="4320"/>
        </w:tabs>
        <w:ind w:left="4320" w:hanging="360"/>
      </w:pPr>
      <w:rPr>
        <w:rFonts w:ascii="Arial" w:hAnsi="Arial" w:hint="default"/>
      </w:rPr>
    </w:lvl>
    <w:lvl w:ilvl="6" w:tplc="F320D58A" w:tentative="1">
      <w:start w:val="1"/>
      <w:numFmt w:val="bullet"/>
      <w:lvlText w:val="•"/>
      <w:lvlJc w:val="left"/>
      <w:pPr>
        <w:tabs>
          <w:tab w:val="num" w:pos="5040"/>
        </w:tabs>
        <w:ind w:left="5040" w:hanging="360"/>
      </w:pPr>
      <w:rPr>
        <w:rFonts w:ascii="Arial" w:hAnsi="Arial" w:hint="default"/>
      </w:rPr>
    </w:lvl>
    <w:lvl w:ilvl="7" w:tplc="D0D2822A" w:tentative="1">
      <w:start w:val="1"/>
      <w:numFmt w:val="bullet"/>
      <w:lvlText w:val="•"/>
      <w:lvlJc w:val="left"/>
      <w:pPr>
        <w:tabs>
          <w:tab w:val="num" w:pos="5760"/>
        </w:tabs>
        <w:ind w:left="5760" w:hanging="360"/>
      </w:pPr>
      <w:rPr>
        <w:rFonts w:ascii="Arial" w:hAnsi="Arial" w:hint="default"/>
      </w:rPr>
    </w:lvl>
    <w:lvl w:ilvl="8" w:tplc="068EDE76" w:tentative="1">
      <w:start w:val="1"/>
      <w:numFmt w:val="bullet"/>
      <w:lvlText w:val="•"/>
      <w:lvlJc w:val="left"/>
      <w:pPr>
        <w:tabs>
          <w:tab w:val="num" w:pos="6480"/>
        </w:tabs>
        <w:ind w:left="6480" w:hanging="360"/>
      </w:pPr>
      <w:rPr>
        <w:rFonts w:ascii="Arial" w:hAnsi="Arial" w:hint="default"/>
      </w:rPr>
    </w:lvl>
  </w:abstractNum>
  <w:abstractNum w:abstractNumId="27">
    <w:nsid w:val="7A7120EB"/>
    <w:multiLevelType w:val="hybridMultilevel"/>
    <w:tmpl w:val="FCF25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1F3036"/>
    <w:multiLevelType w:val="hybridMultilevel"/>
    <w:tmpl w:val="85DE1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70468"/>
    <w:multiLevelType w:val="hybridMultilevel"/>
    <w:tmpl w:val="5734BA42"/>
    <w:lvl w:ilvl="0" w:tplc="219CD40E">
      <w:start w:val="1"/>
      <w:numFmt w:val="bullet"/>
      <w:lvlText w:val="•"/>
      <w:lvlJc w:val="left"/>
      <w:pPr>
        <w:tabs>
          <w:tab w:val="num" w:pos="720"/>
        </w:tabs>
        <w:ind w:left="720" w:hanging="360"/>
      </w:pPr>
      <w:rPr>
        <w:rFonts w:ascii="Arial" w:hAnsi="Arial" w:hint="default"/>
      </w:rPr>
    </w:lvl>
    <w:lvl w:ilvl="1" w:tplc="DCC0405E">
      <w:start w:val="1"/>
      <w:numFmt w:val="bullet"/>
      <w:lvlText w:val="•"/>
      <w:lvlJc w:val="left"/>
      <w:pPr>
        <w:tabs>
          <w:tab w:val="num" w:pos="1440"/>
        </w:tabs>
        <w:ind w:left="1440" w:hanging="360"/>
      </w:pPr>
      <w:rPr>
        <w:rFonts w:ascii="Arial" w:hAnsi="Arial" w:hint="default"/>
      </w:rPr>
    </w:lvl>
    <w:lvl w:ilvl="2" w:tplc="B6240752" w:tentative="1">
      <w:start w:val="1"/>
      <w:numFmt w:val="bullet"/>
      <w:lvlText w:val="•"/>
      <w:lvlJc w:val="left"/>
      <w:pPr>
        <w:tabs>
          <w:tab w:val="num" w:pos="2160"/>
        </w:tabs>
        <w:ind w:left="2160" w:hanging="360"/>
      </w:pPr>
      <w:rPr>
        <w:rFonts w:ascii="Arial" w:hAnsi="Arial" w:hint="default"/>
      </w:rPr>
    </w:lvl>
    <w:lvl w:ilvl="3" w:tplc="101EBBDA" w:tentative="1">
      <w:start w:val="1"/>
      <w:numFmt w:val="bullet"/>
      <w:lvlText w:val="•"/>
      <w:lvlJc w:val="left"/>
      <w:pPr>
        <w:tabs>
          <w:tab w:val="num" w:pos="2880"/>
        </w:tabs>
        <w:ind w:left="2880" w:hanging="360"/>
      </w:pPr>
      <w:rPr>
        <w:rFonts w:ascii="Arial" w:hAnsi="Arial" w:hint="default"/>
      </w:rPr>
    </w:lvl>
    <w:lvl w:ilvl="4" w:tplc="3E9E7FFA" w:tentative="1">
      <w:start w:val="1"/>
      <w:numFmt w:val="bullet"/>
      <w:lvlText w:val="•"/>
      <w:lvlJc w:val="left"/>
      <w:pPr>
        <w:tabs>
          <w:tab w:val="num" w:pos="3600"/>
        </w:tabs>
        <w:ind w:left="3600" w:hanging="360"/>
      </w:pPr>
      <w:rPr>
        <w:rFonts w:ascii="Arial" w:hAnsi="Arial" w:hint="default"/>
      </w:rPr>
    </w:lvl>
    <w:lvl w:ilvl="5" w:tplc="0F64D51A" w:tentative="1">
      <w:start w:val="1"/>
      <w:numFmt w:val="bullet"/>
      <w:lvlText w:val="•"/>
      <w:lvlJc w:val="left"/>
      <w:pPr>
        <w:tabs>
          <w:tab w:val="num" w:pos="4320"/>
        </w:tabs>
        <w:ind w:left="4320" w:hanging="360"/>
      </w:pPr>
      <w:rPr>
        <w:rFonts w:ascii="Arial" w:hAnsi="Arial" w:hint="default"/>
      </w:rPr>
    </w:lvl>
    <w:lvl w:ilvl="6" w:tplc="06FAF5CC" w:tentative="1">
      <w:start w:val="1"/>
      <w:numFmt w:val="bullet"/>
      <w:lvlText w:val="•"/>
      <w:lvlJc w:val="left"/>
      <w:pPr>
        <w:tabs>
          <w:tab w:val="num" w:pos="5040"/>
        </w:tabs>
        <w:ind w:left="5040" w:hanging="360"/>
      </w:pPr>
      <w:rPr>
        <w:rFonts w:ascii="Arial" w:hAnsi="Arial" w:hint="default"/>
      </w:rPr>
    </w:lvl>
    <w:lvl w:ilvl="7" w:tplc="1D62B550" w:tentative="1">
      <w:start w:val="1"/>
      <w:numFmt w:val="bullet"/>
      <w:lvlText w:val="•"/>
      <w:lvlJc w:val="left"/>
      <w:pPr>
        <w:tabs>
          <w:tab w:val="num" w:pos="5760"/>
        </w:tabs>
        <w:ind w:left="5760" w:hanging="360"/>
      </w:pPr>
      <w:rPr>
        <w:rFonts w:ascii="Arial" w:hAnsi="Arial" w:hint="default"/>
      </w:rPr>
    </w:lvl>
    <w:lvl w:ilvl="8" w:tplc="394C892A" w:tentative="1">
      <w:start w:val="1"/>
      <w:numFmt w:val="bullet"/>
      <w:lvlText w:val="•"/>
      <w:lvlJc w:val="left"/>
      <w:pPr>
        <w:tabs>
          <w:tab w:val="num" w:pos="6480"/>
        </w:tabs>
        <w:ind w:left="6480" w:hanging="360"/>
      </w:pPr>
      <w:rPr>
        <w:rFonts w:ascii="Arial" w:hAnsi="Arial" w:hint="default"/>
      </w:rPr>
    </w:lvl>
  </w:abstractNum>
  <w:abstractNum w:abstractNumId="30">
    <w:nsid w:val="7F651420"/>
    <w:multiLevelType w:val="hybridMultilevel"/>
    <w:tmpl w:val="7E36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9"/>
  </w:num>
  <w:num w:numId="4">
    <w:abstractNumId w:val="27"/>
  </w:num>
  <w:num w:numId="5">
    <w:abstractNumId w:val="17"/>
  </w:num>
  <w:num w:numId="6">
    <w:abstractNumId w:val="1"/>
  </w:num>
  <w:num w:numId="7">
    <w:abstractNumId w:val="25"/>
  </w:num>
  <w:num w:numId="8">
    <w:abstractNumId w:val="12"/>
  </w:num>
  <w:num w:numId="9">
    <w:abstractNumId w:val="10"/>
  </w:num>
  <w:num w:numId="10">
    <w:abstractNumId w:val="19"/>
  </w:num>
  <w:num w:numId="11">
    <w:abstractNumId w:val="26"/>
  </w:num>
  <w:num w:numId="12">
    <w:abstractNumId w:val="24"/>
  </w:num>
  <w:num w:numId="13">
    <w:abstractNumId w:val="6"/>
  </w:num>
  <w:num w:numId="14">
    <w:abstractNumId w:val="29"/>
  </w:num>
  <w:num w:numId="15">
    <w:abstractNumId w:val="11"/>
  </w:num>
  <w:num w:numId="16">
    <w:abstractNumId w:val="4"/>
  </w:num>
  <w:num w:numId="17">
    <w:abstractNumId w:val="3"/>
  </w:num>
  <w:num w:numId="18">
    <w:abstractNumId w:val="18"/>
  </w:num>
  <w:num w:numId="19">
    <w:abstractNumId w:val="7"/>
  </w:num>
  <w:num w:numId="20">
    <w:abstractNumId w:val="0"/>
  </w:num>
  <w:num w:numId="21">
    <w:abstractNumId w:val="30"/>
  </w:num>
  <w:num w:numId="22">
    <w:abstractNumId w:val="13"/>
  </w:num>
  <w:num w:numId="23">
    <w:abstractNumId w:val="28"/>
  </w:num>
  <w:num w:numId="24">
    <w:abstractNumId w:val="21"/>
  </w:num>
  <w:num w:numId="25">
    <w:abstractNumId w:val="16"/>
  </w:num>
  <w:num w:numId="26">
    <w:abstractNumId w:val="2"/>
  </w:num>
  <w:num w:numId="27">
    <w:abstractNumId w:val="5"/>
  </w:num>
  <w:num w:numId="28">
    <w:abstractNumId w:val="23"/>
  </w:num>
  <w:num w:numId="29">
    <w:abstractNumId w:val="8"/>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D6"/>
    <w:rsid w:val="00001D5F"/>
    <w:rsid w:val="000021B5"/>
    <w:rsid w:val="00005D5D"/>
    <w:rsid w:val="000072C6"/>
    <w:rsid w:val="000105C8"/>
    <w:rsid w:val="0001543A"/>
    <w:rsid w:val="00016B6B"/>
    <w:rsid w:val="00017886"/>
    <w:rsid w:val="000213BC"/>
    <w:rsid w:val="0002510E"/>
    <w:rsid w:val="000251DA"/>
    <w:rsid w:val="000254BA"/>
    <w:rsid w:val="00026769"/>
    <w:rsid w:val="0003108D"/>
    <w:rsid w:val="00032286"/>
    <w:rsid w:val="00042873"/>
    <w:rsid w:val="00046F73"/>
    <w:rsid w:val="00051491"/>
    <w:rsid w:val="00052CCD"/>
    <w:rsid w:val="000533AC"/>
    <w:rsid w:val="00053D82"/>
    <w:rsid w:val="000543AA"/>
    <w:rsid w:val="000558D7"/>
    <w:rsid w:val="000558FA"/>
    <w:rsid w:val="00056C14"/>
    <w:rsid w:val="00057F52"/>
    <w:rsid w:val="000634FD"/>
    <w:rsid w:val="000646FB"/>
    <w:rsid w:val="00071EBF"/>
    <w:rsid w:val="00072D0C"/>
    <w:rsid w:val="000743EC"/>
    <w:rsid w:val="00074511"/>
    <w:rsid w:val="000760F3"/>
    <w:rsid w:val="00082BC7"/>
    <w:rsid w:val="00086AE8"/>
    <w:rsid w:val="00086C8E"/>
    <w:rsid w:val="00087129"/>
    <w:rsid w:val="000911E3"/>
    <w:rsid w:val="00094305"/>
    <w:rsid w:val="00095741"/>
    <w:rsid w:val="00095C16"/>
    <w:rsid w:val="000962F7"/>
    <w:rsid w:val="00096CAD"/>
    <w:rsid w:val="000A0211"/>
    <w:rsid w:val="000A1A1F"/>
    <w:rsid w:val="000A6927"/>
    <w:rsid w:val="000A77D5"/>
    <w:rsid w:val="000B17D2"/>
    <w:rsid w:val="000B37FE"/>
    <w:rsid w:val="000C05B3"/>
    <w:rsid w:val="000C0734"/>
    <w:rsid w:val="000C0B0F"/>
    <w:rsid w:val="000C315E"/>
    <w:rsid w:val="000C574D"/>
    <w:rsid w:val="000C7C51"/>
    <w:rsid w:val="000D05F8"/>
    <w:rsid w:val="000D1D89"/>
    <w:rsid w:val="000D2B46"/>
    <w:rsid w:val="000D3801"/>
    <w:rsid w:val="000D53B7"/>
    <w:rsid w:val="000D6777"/>
    <w:rsid w:val="000E0A30"/>
    <w:rsid w:val="000E2699"/>
    <w:rsid w:val="000E303A"/>
    <w:rsid w:val="000E40D0"/>
    <w:rsid w:val="000E4670"/>
    <w:rsid w:val="000E6568"/>
    <w:rsid w:val="000E7C1F"/>
    <w:rsid w:val="000F0B0C"/>
    <w:rsid w:val="000F52A8"/>
    <w:rsid w:val="000F540D"/>
    <w:rsid w:val="000F5D0D"/>
    <w:rsid w:val="000F638A"/>
    <w:rsid w:val="000F6740"/>
    <w:rsid w:val="000F6C8D"/>
    <w:rsid w:val="00100883"/>
    <w:rsid w:val="001028B4"/>
    <w:rsid w:val="001059FE"/>
    <w:rsid w:val="00105D7D"/>
    <w:rsid w:val="001074BA"/>
    <w:rsid w:val="0011093E"/>
    <w:rsid w:val="00111034"/>
    <w:rsid w:val="00113F26"/>
    <w:rsid w:val="00115A2C"/>
    <w:rsid w:val="00115BCE"/>
    <w:rsid w:val="001166AA"/>
    <w:rsid w:val="001168FC"/>
    <w:rsid w:val="0011719B"/>
    <w:rsid w:val="00121CB8"/>
    <w:rsid w:val="00124A30"/>
    <w:rsid w:val="0012616A"/>
    <w:rsid w:val="00126A58"/>
    <w:rsid w:val="0013177E"/>
    <w:rsid w:val="00131934"/>
    <w:rsid w:val="00133E3C"/>
    <w:rsid w:val="00134AB3"/>
    <w:rsid w:val="001410E2"/>
    <w:rsid w:val="00142C98"/>
    <w:rsid w:val="00145DB5"/>
    <w:rsid w:val="0014767E"/>
    <w:rsid w:val="0014771C"/>
    <w:rsid w:val="00151A66"/>
    <w:rsid w:val="00152A2D"/>
    <w:rsid w:val="00153ECC"/>
    <w:rsid w:val="00154706"/>
    <w:rsid w:val="00157CBB"/>
    <w:rsid w:val="00157E70"/>
    <w:rsid w:val="00164296"/>
    <w:rsid w:val="001647D0"/>
    <w:rsid w:val="00164B04"/>
    <w:rsid w:val="00165728"/>
    <w:rsid w:val="00166A5D"/>
    <w:rsid w:val="0016758B"/>
    <w:rsid w:val="0017074C"/>
    <w:rsid w:val="001713DD"/>
    <w:rsid w:val="00173762"/>
    <w:rsid w:val="00174735"/>
    <w:rsid w:val="0018543A"/>
    <w:rsid w:val="00186D29"/>
    <w:rsid w:val="001878F9"/>
    <w:rsid w:val="0019320F"/>
    <w:rsid w:val="00197FB8"/>
    <w:rsid w:val="001A71EB"/>
    <w:rsid w:val="001A7A91"/>
    <w:rsid w:val="001B0B55"/>
    <w:rsid w:val="001B189F"/>
    <w:rsid w:val="001B65A7"/>
    <w:rsid w:val="001C226D"/>
    <w:rsid w:val="001C3A23"/>
    <w:rsid w:val="001C5A16"/>
    <w:rsid w:val="001C5E41"/>
    <w:rsid w:val="001D009C"/>
    <w:rsid w:val="001D0382"/>
    <w:rsid w:val="001D1C4F"/>
    <w:rsid w:val="001D30B0"/>
    <w:rsid w:val="001D64F7"/>
    <w:rsid w:val="001D6C85"/>
    <w:rsid w:val="001E32F6"/>
    <w:rsid w:val="001E49C5"/>
    <w:rsid w:val="001E561C"/>
    <w:rsid w:val="001E7704"/>
    <w:rsid w:val="001F0131"/>
    <w:rsid w:val="001F201F"/>
    <w:rsid w:val="001F2345"/>
    <w:rsid w:val="001F3448"/>
    <w:rsid w:val="001F601F"/>
    <w:rsid w:val="001F62EA"/>
    <w:rsid w:val="00201A3D"/>
    <w:rsid w:val="00203937"/>
    <w:rsid w:val="00204249"/>
    <w:rsid w:val="00205693"/>
    <w:rsid w:val="0020649B"/>
    <w:rsid w:val="002076F9"/>
    <w:rsid w:val="00211E64"/>
    <w:rsid w:val="002130C0"/>
    <w:rsid w:val="00213230"/>
    <w:rsid w:val="0021421A"/>
    <w:rsid w:val="0021549C"/>
    <w:rsid w:val="00217A7D"/>
    <w:rsid w:val="00220312"/>
    <w:rsid w:val="00222AE5"/>
    <w:rsid w:val="002247FF"/>
    <w:rsid w:val="00224F86"/>
    <w:rsid w:val="002255AD"/>
    <w:rsid w:val="0022581E"/>
    <w:rsid w:val="002300AC"/>
    <w:rsid w:val="00231FE4"/>
    <w:rsid w:val="002364C7"/>
    <w:rsid w:val="00243258"/>
    <w:rsid w:val="00244CC5"/>
    <w:rsid w:val="00245F13"/>
    <w:rsid w:val="0025193D"/>
    <w:rsid w:val="00252B92"/>
    <w:rsid w:val="00253EED"/>
    <w:rsid w:val="00254A6A"/>
    <w:rsid w:val="00254DEC"/>
    <w:rsid w:val="0025795E"/>
    <w:rsid w:val="00257B15"/>
    <w:rsid w:val="00257EC1"/>
    <w:rsid w:val="00257F70"/>
    <w:rsid w:val="0026055F"/>
    <w:rsid w:val="002614F3"/>
    <w:rsid w:val="002627AA"/>
    <w:rsid w:val="00263515"/>
    <w:rsid w:val="00264B58"/>
    <w:rsid w:val="002658AF"/>
    <w:rsid w:val="00265CD1"/>
    <w:rsid w:val="002755DE"/>
    <w:rsid w:val="002860F4"/>
    <w:rsid w:val="00287CE1"/>
    <w:rsid w:val="002903D3"/>
    <w:rsid w:val="00290D3D"/>
    <w:rsid w:val="002915A0"/>
    <w:rsid w:val="002915AB"/>
    <w:rsid w:val="0029234E"/>
    <w:rsid w:val="00293181"/>
    <w:rsid w:val="00294ACA"/>
    <w:rsid w:val="00295C27"/>
    <w:rsid w:val="00295D5C"/>
    <w:rsid w:val="002A0549"/>
    <w:rsid w:val="002A2D73"/>
    <w:rsid w:val="002A3D30"/>
    <w:rsid w:val="002A3E41"/>
    <w:rsid w:val="002A3F02"/>
    <w:rsid w:val="002A55B1"/>
    <w:rsid w:val="002B0835"/>
    <w:rsid w:val="002B110C"/>
    <w:rsid w:val="002B19B6"/>
    <w:rsid w:val="002B29E0"/>
    <w:rsid w:val="002B3F1E"/>
    <w:rsid w:val="002B79FD"/>
    <w:rsid w:val="002B7A6F"/>
    <w:rsid w:val="002C35FC"/>
    <w:rsid w:val="002C51D2"/>
    <w:rsid w:val="002C6420"/>
    <w:rsid w:val="002C7C18"/>
    <w:rsid w:val="002C7EA7"/>
    <w:rsid w:val="002D0F6E"/>
    <w:rsid w:val="002D1261"/>
    <w:rsid w:val="002E19ED"/>
    <w:rsid w:val="002E1FAB"/>
    <w:rsid w:val="002E3C45"/>
    <w:rsid w:val="002E4178"/>
    <w:rsid w:val="002E4472"/>
    <w:rsid w:val="002F2901"/>
    <w:rsid w:val="002F4CDC"/>
    <w:rsid w:val="0030369E"/>
    <w:rsid w:val="00305C31"/>
    <w:rsid w:val="0030617D"/>
    <w:rsid w:val="003116EE"/>
    <w:rsid w:val="003148F0"/>
    <w:rsid w:val="00317328"/>
    <w:rsid w:val="0032026B"/>
    <w:rsid w:val="003225B0"/>
    <w:rsid w:val="0032492A"/>
    <w:rsid w:val="00325620"/>
    <w:rsid w:val="00326489"/>
    <w:rsid w:val="00331185"/>
    <w:rsid w:val="00331574"/>
    <w:rsid w:val="00332613"/>
    <w:rsid w:val="00332925"/>
    <w:rsid w:val="00333D98"/>
    <w:rsid w:val="00335BCD"/>
    <w:rsid w:val="00335FCC"/>
    <w:rsid w:val="00336A60"/>
    <w:rsid w:val="003410FD"/>
    <w:rsid w:val="0034185C"/>
    <w:rsid w:val="00352371"/>
    <w:rsid w:val="003531BE"/>
    <w:rsid w:val="003538D5"/>
    <w:rsid w:val="00357691"/>
    <w:rsid w:val="003579C5"/>
    <w:rsid w:val="003637DB"/>
    <w:rsid w:val="00363CA7"/>
    <w:rsid w:val="003669EE"/>
    <w:rsid w:val="003676C4"/>
    <w:rsid w:val="0037386A"/>
    <w:rsid w:val="003747D6"/>
    <w:rsid w:val="00376C14"/>
    <w:rsid w:val="00380B15"/>
    <w:rsid w:val="00382CB9"/>
    <w:rsid w:val="003867FA"/>
    <w:rsid w:val="00387856"/>
    <w:rsid w:val="00390545"/>
    <w:rsid w:val="00391354"/>
    <w:rsid w:val="003945A5"/>
    <w:rsid w:val="0039481B"/>
    <w:rsid w:val="00395207"/>
    <w:rsid w:val="00395DC3"/>
    <w:rsid w:val="003A3177"/>
    <w:rsid w:val="003A4DC2"/>
    <w:rsid w:val="003B0469"/>
    <w:rsid w:val="003B0911"/>
    <w:rsid w:val="003B4466"/>
    <w:rsid w:val="003B6242"/>
    <w:rsid w:val="003C14E9"/>
    <w:rsid w:val="003C2D11"/>
    <w:rsid w:val="003C2EEF"/>
    <w:rsid w:val="003C397C"/>
    <w:rsid w:val="003D3198"/>
    <w:rsid w:val="003D33C7"/>
    <w:rsid w:val="003D5B6F"/>
    <w:rsid w:val="003D5D01"/>
    <w:rsid w:val="003D6881"/>
    <w:rsid w:val="003E2B84"/>
    <w:rsid w:val="003E519A"/>
    <w:rsid w:val="003E7FD3"/>
    <w:rsid w:val="003F0539"/>
    <w:rsid w:val="003F108C"/>
    <w:rsid w:val="003F1E61"/>
    <w:rsid w:val="003F203C"/>
    <w:rsid w:val="003F3650"/>
    <w:rsid w:val="003F54F6"/>
    <w:rsid w:val="003F61FB"/>
    <w:rsid w:val="003F650B"/>
    <w:rsid w:val="003F6C6A"/>
    <w:rsid w:val="00401515"/>
    <w:rsid w:val="00404144"/>
    <w:rsid w:val="00404746"/>
    <w:rsid w:val="00406E26"/>
    <w:rsid w:val="00412181"/>
    <w:rsid w:val="00412A3D"/>
    <w:rsid w:val="00413328"/>
    <w:rsid w:val="00415FE6"/>
    <w:rsid w:val="00417D90"/>
    <w:rsid w:val="00430F8D"/>
    <w:rsid w:val="00433C74"/>
    <w:rsid w:val="00433D4E"/>
    <w:rsid w:val="00436353"/>
    <w:rsid w:val="004364CD"/>
    <w:rsid w:val="00437492"/>
    <w:rsid w:val="0044184A"/>
    <w:rsid w:val="0044233B"/>
    <w:rsid w:val="004437BA"/>
    <w:rsid w:val="004442DE"/>
    <w:rsid w:val="0044507B"/>
    <w:rsid w:val="004450B5"/>
    <w:rsid w:val="00446C1B"/>
    <w:rsid w:val="00447F17"/>
    <w:rsid w:val="00451BCD"/>
    <w:rsid w:val="004527E9"/>
    <w:rsid w:val="00455920"/>
    <w:rsid w:val="00455C2F"/>
    <w:rsid w:val="00460121"/>
    <w:rsid w:val="0046226F"/>
    <w:rsid w:val="00462716"/>
    <w:rsid w:val="004758EA"/>
    <w:rsid w:val="00477DA9"/>
    <w:rsid w:val="00480EDE"/>
    <w:rsid w:val="00482CF1"/>
    <w:rsid w:val="004831A4"/>
    <w:rsid w:val="00484577"/>
    <w:rsid w:val="00484A56"/>
    <w:rsid w:val="004859A3"/>
    <w:rsid w:val="0049195D"/>
    <w:rsid w:val="004947F2"/>
    <w:rsid w:val="004A7A35"/>
    <w:rsid w:val="004B49D9"/>
    <w:rsid w:val="004B5658"/>
    <w:rsid w:val="004B79F7"/>
    <w:rsid w:val="004C1EE7"/>
    <w:rsid w:val="004C49CF"/>
    <w:rsid w:val="004C6E28"/>
    <w:rsid w:val="004C771E"/>
    <w:rsid w:val="004C7BC1"/>
    <w:rsid w:val="004D17CD"/>
    <w:rsid w:val="004D2796"/>
    <w:rsid w:val="004D5CE0"/>
    <w:rsid w:val="004E53AC"/>
    <w:rsid w:val="004E56E8"/>
    <w:rsid w:val="004E7690"/>
    <w:rsid w:val="004F0190"/>
    <w:rsid w:val="004F12C0"/>
    <w:rsid w:val="004F1E69"/>
    <w:rsid w:val="004F27CB"/>
    <w:rsid w:val="004F6B52"/>
    <w:rsid w:val="004F762D"/>
    <w:rsid w:val="00501CD4"/>
    <w:rsid w:val="00501E58"/>
    <w:rsid w:val="00502776"/>
    <w:rsid w:val="00506AD6"/>
    <w:rsid w:val="00506B25"/>
    <w:rsid w:val="00510BF3"/>
    <w:rsid w:val="00511875"/>
    <w:rsid w:val="005131F9"/>
    <w:rsid w:val="00515DC7"/>
    <w:rsid w:val="0051712E"/>
    <w:rsid w:val="00517831"/>
    <w:rsid w:val="00523C4E"/>
    <w:rsid w:val="0053092C"/>
    <w:rsid w:val="005324B1"/>
    <w:rsid w:val="00541676"/>
    <w:rsid w:val="00541866"/>
    <w:rsid w:val="00544EB6"/>
    <w:rsid w:val="0054737C"/>
    <w:rsid w:val="0055027B"/>
    <w:rsid w:val="00551B69"/>
    <w:rsid w:val="00557DF1"/>
    <w:rsid w:val="00561A61"/>
    <w:rsid w:val="00562566"/>
    <w:rsid w:val="005632BA"/>
    <w:rsid w:val="005651F1"/>
    <w:rsid w:val="00565E22"/>
    <w:rsid w:val="0056725B"/>
    <w:rsid w:val="0057435C"/>
    <w:rsid w:val="0057447A"/>
    <w:rsid w:val="0057623F"/>
    <w:rsid w:val="00576316"/>
    <w:rsid w:val="00577722"/>
    <w:rsid w:val="005805E4"/>
    <w:rsid w:val="00580A01"/>
    <w:rsid w:val="005828B0"/>
    <w:rsid w:val="00582993"/>
    <w:rsid w:val="00583275"/>
    <w:rsid w:val="00586A39"/>
    <w:rsid w:val="00591C53"/>
    <w:rsid w:val="005942D9"/>
    <w:rsid w:val="005946A9"/>
    <w:rsid w:val="00594D25"/>
    <w:rsid w:val="00595272"/>
    <w:rsid w:val="00595FEF"/>
    <w:rsid w:val="00596A46"/>
    <w:rsid w:val="00597E77"/>
    <w:rsid w:val="00597F8B"/>
    <w:rsid w:val="005A01E4"/>
    <w:rsid w:val="005A09D6"/>
    <w:rsid w:val="005A4582"/>
    <w:rsid w:val="005A45F4"/>
    <w:rsid w:val="005A4FD7"/>
    <w:rsid w:val="005A5326"/>
    <w:rsid w:val="005A6043"/>
    <w:rsid w:val="005A6D57"/>
    <w:rsid w:val="005A6DA3"/>
    <w:rsid w:val="005B01E0"/>
    <w:rsid w:val="005B423E"/>
    <w:rsid w:val="005B5B95"/>
    <w:rsid w:val="005C2694"/>
    <w:rsid w:val="005C2926"/>
    <w:rsid w:val="005C4CFD"/>
    <w:rsid w:val="005C4D83"/>
    <w:rsid w:val="005C7607"/>
    <w:rsid w:val="005C7AD3"/>
    <w:rsid w:val="005D5B62"/>
    <w:rsid w:val="005D7412"/>
    <w:rsid w:val="005E12A4"/>
    <w:rsid w:val="005E1B66"/>
    <w:rsid w:val="005E3ABB"/>
    <w:rsid w:val="005E3AE8"/>
    <w:rsid w:val="005E59F8"/>
    <w:rsid w:val="005F0182"/>
    <w:rsid w:val="005F23CF"/>
    <w:rsid w:val="005F3DC6"/>
    <w:rsid w:val="005F51DD"/>
    <w:rsid w:val="005F586F"/>
    <w:rsid w:val="005F6532"/>
    <w:rsid w:val="005F66CD"/>
    <w:rsid w:val="00602D7E"/>
    <w:rsid w:val="00606460"/>
    <w:rsid w:val="0061242E"/>
    <w:rsid w:val="0061258D"/>
    <w:rsid w:val="0061318F"/>
    <w:rsid w:val="00616767"/>
    <w:rsid w:val="00616BA7"/>
    <w:rsid w:val="00616C26"/>
    <w:rsid w:val="00621293"/>
    <w:rsid w:val="0062170C"/>
    <w:rsid w:val="0062406E"/>
    <w:rsid w:val="006241A5"/>
    <w:rsid w:val="00625207"/>
    <w:rsid w:val="00626A49"/>
    <w:rsid w:val="00632E09"/>
    <w:rsid w:val="006343B2"/>
    <w:rsid w:val="0063445A"/>
    <w:rsid w:val="00634823"/>
    <w:rsid w:val="00635032"/>
    <w:rsid w:val="00635CA3"/>
    <w:rsid w:val="00635FBA"/>
    <w:rsid w:val="006434B1"/>
    <w:rsid w:val="006536E6"/>
    <w:rsid w:val="00654466"/>
    <w:rsid w:val="006621FE"/>
    <w:rsid w:val="006623F0"/>
    <w:rsid w:val="00663B97"/>
    <w:rsid w:val="00664029"/>
    <w:rsid w:val="00665AA2"/>
    <w:rsid w:val="00666FA6"/>
    <w:rsid w:val="0067354F"/>
    <w:rsid w:val="006735BD"/>
    <w:rsid w:val="00677131"/>
    <w:rsid w:val="00681049"/>
    <w:rsid w:val="00682EDC"/>
    <w:rsid w:val="00683564"/>
    <w:rsid w:val="00685F5E"/>
    <w:rsid w:val="0068633E"/>
    <w:rsid w:val="00692D91"/>
    <w:rsid w:val="00693536"/>
    <w:rsid w:val="006A01B6"/>
    <w:rsid w:val="006A26AA"/>
    <w:rsid w:val="006A30AC"/>
    <w:rsid w:val="006A395F"/>
    <w:rsid w:val="006A4CDD"/>
    <w:rsid w:val="006A7037"/>
    <w:rsid w:val="006B1438"/>
    <w:rsid w:val="006B1E34"/>
    <w:rsid w:val="006B5E5B"/>
    <w:rsid w:val="006B6F53"/>
    <w:rsid w:val="006B7CDC"/>
    <w:rsid w:val="006C132F"/>
    <w:rsid w:val="006C7138"/>
    <w:rsid w:val="006C7A7F"/>
    <w:rsid w:val="006D07AD"/>
    <w:rsid w:val="006D09DF"/>
    <w:rsid w:val="006D3060"/>
    <w:rsid w:val="006D3CE1"/>
    <w:rsid w:val="006E20FC"/>
    <w:rsid w:val="006E2DCF"/>
    <w:rsid w:val="006E39C0"/>
    <w:rsid w:val="006E6CB4"/>
    <w:rsid w:val="006F6C7A"/>
    <w:rsid w:val="007000B1"/>
    <w:rsid w:val="00701224"/>
    <w:rsid w:val="0070461E"/>
    <w:rsid w:val="007056F6"/>
    <w:rsid w:val="00707015"/>
    <w:rsid w:val="00707B28"/>
    <w:rsid w:val="00707B8E"/>
    <w:rsid w:val="0071018D"/>
    <w:rsid w:val="00716B6F"/>
    <w:rsid w:val="00716CF4"/>
    <w:rsid w:val="00717157"/>
    <w:rsid w:val="0072099C"/>
    <w:rsid w:val="007217DA"/>
    <w:rsid w:val="007219AE"/>
    <w:rsid w:val="00721F55"/>
    <w:rsid w:val="0072384A"/>
    <w:rsid w:val="0072438C"/>
    <w:rsid w:val="00724C96"/>
    <w:rsid w:val="00727A4D"/>
    <w:rsid w:val="00727E56"/>
    <w:rsid w:val="00730454"/>
    <w:rsid w:val="00732576"/>
    <w:rsid w:val="0073286E"/>
    <w:rsid w:val="00741131"/>
    <w:rsid w:val="0074176F"/>
    <w:rsid w:val="00743A8F"/>
    <w:rsid w:val="00743D2B"/>
    <w:rsid w:val="00743F31"/>
    <w:rsid w:val="007459DB"/>
    <w:rsid w:val="00745F8E"/>
    <w:rsid w:val="00747868"/>
    <w:rsid w:val="00752C6E"/>
    <w:rsid w:val="007571CE"/>
    <w:rsid w:val="0076177C"/>
    <w:rsid w:val="00761F6A"/>
    <w:rsid w:val="00763A6D"/>
    <w:rsid w:val="00766309"/>
    <w:rsid w:val="007670EC"/>
    <w:rsid w:val="00771157"/>
    <w:rsid w:val="007719D1"/>
    <w:rsid w:val="00776762"/>
    <w:rsid w:val="00776CEB"/>
    <w:rsid w:val="007803B7"/>
    <w:rsid w:val="00782099"/>
    <w:rsid w:val="007841B3"/>
    <w:rsid w:val="00785E99"/>
    <w:rsid w:val="007905EB"/>
    <w:rsid w:val="00791EA0"/>
    <w:rsid w:val="0079427F"/>
    <w:rsid w:val="00795441"/>
    <w:rsid w:val="007960EE"/>
    <w:rsid w:val="0079777A"/>
    <w:rsid w:val="007A0811"/>
    <w:rsid w:val="007A157E"/>
    <w:rsid w:val="007A213E"/>
    <w:rsid w:val="007A5057"/>
    <w:rsid w:val="007A79D6"/>
    <w:rsid w:val="007B0A9D"/>
    <w:rsid w:val="007C2CD0"/>
    <w:rsid w:val="007C3014"/>
    <w:rsid w:val="007C7F69"/>
    <w:rsid w:val="007D31AA"/>
    <w:rsid w:val="007D43BA"/>
    <w:rsid w:val="007D5953"/>
    <w:rsid w:val="007D7C6C"/>
    <w:rsid w:val="007E05D1"/>
    <w:rsid w:val="007E19BB"/>
    <w:rsid w:val="007E454F"/>
    <w:rsid w:val="007E4F4D"/>
    <w:rsid w:val="007E5162"/>
    <w:rsid w:val="007F0E66"/>
    <w:rsid w:val="007F53C2"/>
    <w:rsid w:val="007F5658"/>
    <w:rsid w:val="00800918"/>
    <w:rsid w:val="008012B0"/>
    <w:rsid w:val="00803A38"/>
    <w:rsid w:val="00806653"/>
    <w:rsid w:val="00806A3A"/>
    <w:rsid w:val="00810FEC"/>
    <w:rsid w:val="00820A71"/>
    <w:rsid w:val="00821ED1"/>
    <w:rsid w:val="00825268"/>
    <w:rsid w:val="00827F7F"/>
    <w:rsid w:val="00830418"/>
    <w:rsid w:val="0083578B"/>
    <w:rsid w:val="00837792"/>
    <w:rsid w:val="008401BB"/>
    <w:rsid w:val="00842DC3"/>
    <w:rsid w:val="00843B92"/>
    <w:rsid w:val="00845F3D"/>
    <w:rsid w:val="00847535"/>
    <w:rsid w:val="00851A47"/>
    <w:rsid w:val="0085382D"/>
    <w:rsid w:val="008559EC"/>
    <w:rsid w:val="00856EC1"/>
    <w:rsid w:val="00857454"/>
    <w:rsid w:val="00860692"/>
    <w:rsid w:val="008625CD"/>
    <w:rsid w:val="008633DF"/>
    <w:rsid w:val="008664E8"/>
    <w:rsid w:val="00867D48"/>
    <w:rsid w:val="008705C3"/>
    <w:rsid w:val="00870E46"/>
    <w:rsid w:val="00875A79"/>
    <w:rsid w:val="0087698D"/>
    <w:rsid w:val="00877AE1"/>
    <w:rsid w:val="00877C77"/>
    <w:rsid w:val="008839D2"/>
    <w:rsid w:val="00884B2C"/>
    <w:rsid w:val="00885567"/>
    <w:rsid w:val="00890B71"/>
    <w:rsid w:val="008963D1"/>
    <w:rsid w:val="008A0ECC"/>
    <w:rsid w:val="008A0F85"/>
    <w:rsid w:val="008A4B6E"/>
    <w:rsid w:val="008B0426"/>
    <w:rsid w:val="008B3A51"/>
    <w:rsid w:val="008D0735"/>
    <w:rsid w:val="008D0EE3"/>
    <w:rsid w:val="008D34BC"/>
    <w:rsid w:val="008E1AB7"/>
    <w:rsid w:val="008E2B6D"/>
    <w:rsid w:val="008E35AB"/>
    <w:rsid w:val="008E4FD4"/>
    <w:rsid w:val="008E6D9E"/>
    <w:rsid w:val="008E71EF"/>
    <w:rsid w:val="008E730B"/>
    <w:rsid w:val="008F02F4"/>
    <w:rsid w:val="008F0364"/>
    <w:rsid w:val="008F080E"/>
    <w:rsid w:val="008F1E9D"/>
    <w:rsid w:val="008F379D"/>
    <w:rsid w:val="008F3D8D"/>
    <w:rsid w:val="008F501C"/>
    <w:rsid w:val="008F557D"/>
    <w:rsid w:val="0090288A"/>
    <w:rsid w:val="00903181"/>
    <w:rsid w:val="00903758"/>
    <w:rsid w:val="00903C69"/>
    <w:rsid w:val="00904A1F"/>
    <w:rsid w:val="00911EE8"/>
    <w:rsid w:val="00913D95"/>
    <w:rsid w:val="00914B93"/>
    <w:rsid w:val="00915952"/>
    <w:rsid w:val="00917B1F"/>
    <w:rsid w:val="00917F46"/>
    <w:rsid w:val="0092258A"/>
    <w:rsid w:val="0092318C"/>
    <w:rsid w:val="00925CD3"/>
    <w:rsid w:val="009263C2"/>
    <w:rsid w:val="009272B0"/>
    <w:rsid w:val="009301E7"/>
    <w:rsid w:val="009303C6"/>
    <w:rsid w:val="0093110C"/>
    <w:rsid w:val="00932BD3"/>
    <w:rsid w:val="00937C01"/>
    <w:rsid w:val="00940FB5"/>
    <w:rsid w:val="009415EC"/>
    <w:rsid w:val="00941EE2"/>
    <w:rsid w:val="00943BB5"/>
    <w:rsid w:val="00943C3E"/>
    <w:rsid w:val="00944076"/>
    <w:rsid w:val="00946466"/>
    <w:rsid w:val="009476AE"/>
    <w:rsid w:val="00947C51"/>
    <w:rsid w:val="009512DA"/>
    <w:rsid w:val="0095178F"/>
    <w:rsid w:val="00952551"/>
    <w:rsid w:val="009538EA"/>
    <w:rsid w:val="00955582"/>
    <w:rsid w:val="009579D5"/>
    <w:rsid w:val="00961381"/>
    <w:rsid w:val="00967684"/>
    <w:rsid w:val="00970168"/>
    <w:rsid w:val="00970C48"/>
    <w:rsid w:val="009716A6"/>
    <w:rsid w:val="0097420A"/>
    <w:rsid w:val="009755E3"/>
    <w:rsid w:val="0097608D"/>
    <w:rsid w:val="009764D1"/>
    <w:rsid w:val="00977ECB"/>
    <w:rsid w:val="00980CA8"/>
    <w:rsid w:val="00980D80"/>
    <w:rsid w:val="009818DE"/>
    <w:rsid w:val="00982B2E"/>
    <w:rsid w:val="00984424"/>
    <w:rsid w:val="009873ED"/>
    <w:rsid w:val="00987E10"/>
    <w:rsid w:val="00992B7A"/>
    <w:rsid w:val="00994C87"/>
    <w:rsid w:val="009961CE"/>
    <w:rsid w:val="009A07FB"/>
    <w:rsid w:val="009A2FAB"/>
    <w:rsid w:val="009A3857"/>
    <w:rsid w:val="009A78DE"/>
    <w:rsid w:val="009B1563"/>
    <w:rsid w:val="009B3361"/>
    <w:rsid w:val="009B5EAC"/>
    <w:rsid w:val="009C1905"/>
    <w:rsid w:val="009C2B37"/>
    <w:rsid w:val="009C2D9F"/>
    <w:rsid w:val="009C413F"/>
    <w:rsid w:val="009C480B"/>
    <w:rsid w:val="009C55E2"/>
    <w:rsid w:val="009C5BF9"/>
    <w:rsid w:val="009D4E27"/>
    <w:rsid w:val="009D660A"/>
    <w:rsid w:val="009D7972"/>
    <w:rsid w:val="009E2E1E"/>
    <w:rsid w:val="009E5329"/>
    <w:rsid w:val="009F20FA"/>
    <w:rsid w:val="009F4419"/>
    <w:rsid w:val="009F585C"/>
    <w:rsid w:val="009F6A23"/>
    <w:rsid w:val="00A023D9"/>
    <w:rsid w:val="00A02D57"/>
    <w:rsid w:val="00A04D82"/>
    <w:rsid w:val="00A05554"/>
    <w:rsid w:val="00A06444"/>
    <w:rsid w:val="00A06A17"/>
    <w:rsid w:val="00A07CF9"/>
    <w:rsid w:val="00A07ED9"/>
    <w:rsid w:val="00A11DA4"/>
    <w:rsid w:val="00A14C6E"/>
    <w:rsid w:val="00A16173"/>
    <w:rsid w:val="00A209DF"/>
    <w:rsid w:val="00A2166F"/>
    <w:rsid w:val="00A2205F"/>
    <w:rsid w:val="00A22611"/>
    <w:rsid w:val="00A22C88"/>
    <w:rsid w:val="00A235AF"/>
    <w:rsid w:val="00A23D78"/>
    <w:rsid w:val="00A25C8F"/>
    <w:rsid w:val="00A264EB"/>
    <w:rsid w:val="00A30801"/>
    <w:rsid w:val="00A33FB1"/>
    <w:rsid w:val="00A34BF4"/>
    <w:rsid w:val="00A360C8"/>
    <w:rsid w:val="00A41D79"/>
    <w:rsid w:val="00A41DFC"/>
    <w:rsid w:val="00A473F0"/>
    <w:rsid w:val="00A47567"/>
    <w:rsid w:val="00A50BCC"/>
    <w:rsid w:val="00A52681"/>
    <w:rsid w:val="00A53BEB"/>
    <w:rsid w:val="00A542E2"/>
    <w:rsid w:val="00A56C91"/>
    <w:rsid w:val="00A61521"/>
    <w:rsid w:val="00A6284D"/>
    <w:rsid w:val="00A64206"/>
    <w:rsid w:val="00A705BF"/>
    <w:rsid w:val="00A71995"/>
    <w:rsid w:val="00A729B0"/>
    <w:rsid w:val="00A73658"/>
    <w:rsid w:val="00A822B9"/>
    <w:rsid w:val="00A82325"/>
    <w:rsid w:val="00A82574"/>
    <w:rsid w:val="00A83B9D"/>
    <w:rsid w:val="00A83C7C"/>
    <w:rsid w:val="00A85D32"/>
    <w:rsid w:val="00A8671E"/>
    <w:rsid w:val="00A9498D"/>
    <w:rsid w:val="00AA251A"/>
    <w:rsid w:val="00AA73EB"/>
    <w:rsid w:val="00AB1BBA"/>
    <w:rsid w:val="00AB580A"/>
    <w:rsid w:val="00AB77EC"/>
    <w:rsid w:val="00AC55A9"/>
    <w:rsid w:val="00AC6E0E"/>
    <w:rsid w:val="00AD0B92"/>
    <w:rsid w:val="00AD0C0F"/>
    <w:rsid w:val="00AD12BA"/>
    <w:rsid w:val="00AD1B9E"/>
    <w:rsid w:val="00AD1CDF"/>
    <w:rsid w:val="00AE01F5"/>
    <w:rsid w:val="00AE0598"/>
    <w:rsid w:val="00AE21ED"/>
    <w:rsid w:val="00AE3C4E"/>
    <w:rsid w:val="00AE62A6"/>
    <w:rsid w:val="00AF05AC"/>
    <w:rsid w:val="00AF0FED"/>
    <w:rsid w:val="00AF2447"/>
    <w:rsid w:val="00AF7637"/>
    <w:rsid w:val="00B007E5"/>
    <w:rsid w:val="00B00B37"/>
    <w:rsid w:val="00B027B7"/>
    <w:rsid w:val="00B05141"/>
    <w:rsid w:val="00B06A89"/>
    <w:rsid w:val="00B119E4"/>
    <w:rsid w:val="00B12553"/>
    <w:rsid w:val="00B17969"/>
    <w:rsid w:val="00B17AA6"/>
    <w:rsid w:val="00B20723"/>
    <w:rsid w:val="00B24841"/>
    <w:rsid w:val="00B27C39"/>
    <w:rsid w:val="00B3110A"/>
    <w:rsid w:val="00B31861"/>
    <w:rsid w:val="00B32070"/>
    <w:rsid w:val="00B371D9"/>
    <w:rsid w:val="00B37F59"/>
    <w:rsid w:val="00B43279"/>
    <w:rsid w:val="00B470E0"/>
    <w:rsid w:val="00B5053F"/>
    <w:rsid w:val="00B52DE4"/>
    <w:rsid w:val="00B56AFB"/>
    <w:rsid w:val="00B56DCD"/>
    <w:rsid w:val="00B6274F"/>
    <w:rsid w:val="00B64BE0"/>
    <w:rsid w:val="00B65450"/>
    <w:rsid w:val="00B74408"/>
    <w:rsid w:val="00B75081"/>
    <w:rsid w:val="00B800D2"/>
    <w:rsid w:val="00B821EE"/>
    <w:rsid w:val="00B82593"/>
    <w:rsid w:val="00B82F13"/>
    <w:rsid w:val="00B86C9C"/>
    <w:rsid w:val="00B90685"/>
    <w:rsid w:val="00B91953"/>
    <w:rsid w:val="00B92679"/>
    <w:rsid w:val="00B95EA5"/>
    <w:rsid w:val="00B978F0"/>
    <w:rsid w:val="00BB055F"/>
    <w:rsid w:val="00BB34C4"/>
    <w:rsid w:val="00BB3F13"/>
    <w:rsid w:val="00BB49D6"/>
    <w:rsid w:val="00BB57CB"/>
    <w:rsid w:val="00BC1A58"/>
    <w:rsid w:val="00BC571F"/>
    <w:rsid w:val="00BC6327"/>
    <w:rsid w:val="00BD1165"/>
    <w:rsid w:val="00BD22F5"/>
    <w:rsid w:val="00BD77C4"/>
    <w:rsid w:val="00BE021E"/>
    <w:rsid w:val="00BE5332"/>
    <w:rsid w:val="00BE6505"/>
    <w:rsid w:val="00BE7671"/>
    <w:rsid w:val="00BF0A7D"/>
    <w:rsid w:val="00BF2325"/>
    <w:rsid w:val="00BF3A0D"/>
    <w:rsid w:val="00BF41CA"/>
    <w:rsid w:val="00BF703C"/>
    <w:rsid w:val="00C01FC8"/>
    <w:rsid w:val="00C03D55"/>
    <w:rsid w:val="00C06819"/>
    <w:rsid w:val="00C1038F"/>
    <w:rsid w:val="00C10AC6"/>
    <w:rsid w:val="00C10D6E"/>
    <w:rsid w:val="00C11ED8"/>
    <w:rsid w:val="00C11F4A"/>
    <w:rsid w:val="00C1339C"/>
    <w:rsid w:val="00C223FB"/>
    <w:rsid w:val="00C2658E"/>
    <w:rsid w:val="00C30D75"/>
    <w:rsid w:val="00C3271C"/>
    <w:rsid w:val="00C33CF1"/>
    <w:rsid w:val="00C348A6"/>
    <w:rsid w:val="00C376BB"/>
    <w:rsid w:val="00C42E9A"/>
    <w:rsid w:val="00C43ADD"/>
    <w:rsid w:val="00C440C9"/>
    <w:rsid w:val="00C44FDC"/>
    <w:rsid w:val="00C45041"/>
    <w:rsid w:val="00C47B43"/>
    <w:rsid w:val="00C501FA"/>
    <w:rsid w:val="00C50AF6"/>
    <w:rsid w:val="00C51E95"/>
    <w:rsid w:val="00C52545"/>
    <w:rsid w:val="00C54ED8"/>
    <w:rsid w:val="00C56717"/>
    <w:rsid w:val="00C5719E"/>
    <w:rsid w:val="00C57C52"/>
    <w:rsid w:val="00C625B6"/>
    <w:rsid w:val="00C62B51"/>
    <w:rsid w:val="00C65CB5"/>
    <w:rsid w:val="00C6749A"/>
    <w:rsid w:val="00C6791F"/>
    <w:rsid w:val="00C7075A"/>
    <w:rsid w:val="00C75377"/>
    <w:rsid w:val="00C80FAF"/>
    <w:rsid w:val="00C81DDF"/>
    <w:rsid w:val="00C83F4E"/>
    <w:rsid w:val="00C85385"/>
    <w:rsid w:val="00C912FF"/>
    <w:rsid w:val="00C922BF"/>
    <w:rsid w:val="00C959CF"/>
    <w:rsid w:val="00CA3022"/>
    <w:rsid w:val="00CA64B4"/>
    <w:rsid w:val="00CB178B"/>
    <w:rsid w:val="00CB4443"/>
    <w:rsid w:val="00CB5438"/>
    <w:rsid w:val="00CB58E2"/>
    <w:rsid w:val="00CB60CC"/>
    <w:rsid w:val="00CB61BA"/>
    <w:rsid w:val="00CB6E0E"/>
    <w:rsid w:val="00CC1478"/>
    <w:rsid w:val="00CC3213"/>
    <w:rsid w:val="00CC3672"/>
    <w:rsid w:val="00CC38C5"/>
    <w:rsid w:val="00CC5741"/>
    <w:rsid w:val="00CC61D2"/>
    <w:rsid w:val="00CD03A9"/>
    <w:rsid w:val="00CD063C"/>
    <w:rsid w:val="00CD1337"/>
    <w:rsid w:val="00CD1573"/>
    <w:rsid w:val="00CD4901"/>
    <w:rsid w:val="00CD5F83"/>
    <w:rsid w:val="00CD734C"/>
    <w:rsid w:val="00CD7A5F"/>
    <w:rsid w:val="00CE2E1A"/>
    <w:rsid w:val="00CE6841"/>
    <w:rsid w:val="00CE797F"/>
    <w:rsid w:val="00CF5CC0"/>
    <w:rsid w:val="00CF6B46"/>
    <w:rsid w:val="00D04A43"/>
    <w:rsid w:val="00D07C39"/>
    <w:rsid w:val="00D11304"/>
    <w:rsid w:val="00D11FFA"/>
    <w:rsid w:val="00D125F5"/>
    <w:rsid w:val="00D13886"/>
    <w:rsid w:val="00D156FE"/>
    <w:rsid w:val="00D212A7"/>
    <w:rsid w:val="00D217E0"/>
    <w:rsid w:val="00D21B14"/>
    <w:rsid w:val="00D21F3F"/>
    <w:rsid w:val="00D24C88"/>
    <w:rsid w:val="00D2709E"/>
    <w:rsid w:val="00D27BB6"/>
    <w:rsid w:val="00D301EE"/>
    <w:rsid w:val="00D30597"/>
    <w:rsid w:val="00D315BC"/>
    <w:rsid w:val="00D37316"/>
    <w:rsid w:val="00D3795F"/>
    <w:rsid w:val="00D37F24"/>
    <w:rsid w:val="00D45C36"/>
    <w:rsid w:val="00D46A04"/>
    <w:rsid w:val="00D46CB1"/>
    <w:rsid w:val="00D47B4F"/>
    <w:rsid w:val="00D5741E"/>
    <w:rsid w:val="00D607FA"/>
    <w:rsid w:val="00D616E2"/>
    <w:rsid w:val="00D62135"/>
    <w:rsid w:val="00D636B0"/>
    <w:rsid w:val="00D65159"/>
    <w:rsid w:val="00D65F4D"/>
    <w:rsid w:val="00D70AD8"/>
    <w:rsid w:val="00D72267"/>
    <w:rsid w:val="00D73977"/>
    <w:rsid w:val="00D8175C"/>
    <w:rsid w:val="00D831BA"/>
    <w:rsid w:val="00D84F86"/>
    <w:rsid w:val="00D855A9"/>
    <w:rsid w:val="00D85922"/>
    <w:rsid w:val="00D94855"/>
    <w:rsid w:val="00D95444"/>
    <w:rsid w:val="00D965FF"/>
    <w:rsid w:val="00DA04A6"/>
    <w:rsid w:val="00DA3894"/>
    <w:rsid w:val="00DA5B3E"/>
    <w:rsid w:val="00DA75F5"/>
    <w:rsid w:val="00DA7BF3"/>
    <w:rsid w:val="00DB096B"/>
    <w:rsid w:val="00DB0FCE"/>
    <w:rsid w:val="00DB516F"/>
    <w:rsid w:val="00DB64B6"/>
    <w:rsid w:val="00DB6E58"/>
    <w:rsid w:val="00DB7EE2"/>
    <w:rsid w:val="00DC7163"/>
    <w:rsid w:val="00DD08ED"/>
    <w:rsid w:val="00DD0FF3"/>
    <w:rsid w:val="00DD52F3"/>
    <w:rsid w:val="00DD6653"/>
    <w:rsid w:val="00DE3764"/>
    <w:rsid w:val="00DE48B9"/>
    <w:rsid w:val="00DE5C1E"/>
    <w:rsid w:val="00DF0021"/>
    <w:rsid w:val="00DF2A39"/>
    <w:rsid w:val="00DF6D2A"/>
    <w:rsid w:val="00DF710D"/>
    <w:rsid w:val="00E01951"/>
    <w:rsid w:val="00E04A74"/>
    <w:rsid w:val="00E110FC"/>
    <w:rsid w:val="00E11A98"/>
    <w:rsid w:val="00E12997"/>
    <w:rsid w:val="00E12AC2"/>
    <w:rsid w:val="00E14F4B"/>
    <w:rsid w:val="00E16B0D"/>
    <w:rsid w:val="00E2348F"/>
    <w:rsid w:val="00E26D32"/>
    <w:rsid w:val="00E33DFB"/>
    <w:rsid w:val="00E35B5C"/>
    <w:rsid w:val="00E41040"/>
    <w:rsid w:val="00E4376F"/>
    <w:rsid w:val="00E4389A"/>
    <w:rsid w:val="00E43D74"/>
    <w:rsid w:val="00E45A1C"/>
    <w:rsid w:val="00E4622A"/>
    <w:rsid w:val="00E467DC"/>
    <w:rsid w:val="00E55DB2"/>
    <w:rsid w:val="00E56E5C"/>
    <w:rsid w:val="00E573B1"/>
    <w:rsid w:val="00E57947"/>
    <w:rsid w:val="00E60B0D"/>
    <w:rsid w:val="00E61FC9"/>
    <w:rsid w:val="00E637AE"/>
    <w:rsid w:val="00E63A08"/>
    <w:rsid w:val="00E6448E"/>
    <w:rsid w:val="00E647AA"/>
    <w:rsid w:val="00E654A4"/>
    <w:rsid w:val="00E6561E"/>
    <w:rsid w:val="00E67697"/>
    <w:rsid w:val="00E7083C"/>
    <w:rsid w:val="00E71BA0"/>
    <w:rsid w:val="00E74C03"/>
    <w:rsid w:val="00E761BD"/>
    <w:rsid w:val="00E767E4"/>
    <w:rsid w:val="00E77232"/>
    <w:rsid w:val="00E829D4"/>
    <w:rsid w:val="00E84187"/>
    <w:rsid w:val="00E86B8A"/>
    <w:rsid w:val="00E93EEB"/>
    <w:rsid w:val="00E9629A"/>
    <w:rsid w:val="00EA327F"/>
    <w:rsid w:val="00EA64FA"/>
    <w:rsid w:val="00EA72B2"/>
    <w:rsid w:val="00EC0CBC"/>
    <w:rsid w:val="00EC2784"/>
    <w:rsid w:val="00EC3566"/>
    <w:rsid w:val="00EC5E44"/>
    <w:rsid w:val="00EC68D0"/>
    <w:rsid w:val="00ED0BBB"/>
    <w:rsid w:val="00ED1313"/>
    <w:rsid w:val="00ED2B74"/>
    <w:rsid w:val="00ED2DFE"/>
    <w:rsid w:val="00ED66E9"/>
    <w:rsid w:val="00EE212E"/>
    <w:rsid w:val="00EE43FB"/>
    <w:rsid w:val="00EE56DB"/>
    <w:rsid w:val="00EE62A5"/>
    <w:rsid w:val="00EE63AB"/>
    <w:rsid w:val="00EF019A"/>
    <w:rsid w:val="00EF24DE"/>
    <w:rsid w:val="00EF2802"/>
    <w:rsid w:val="00EF2A9E"/>
    <w:rsid w:val="00EF61BD"/>
    <w:rsid w:val="00EF649A"/>
    <w:rsid w:val="00EF6E44"/>
    <w:rsid w:val="00F01CC1"/>
    <w:rsid w:val="00F02698"/>
    <w:rsid w:val="00F04D8E"/>
    <w:rsid w:val="00F05A53"/>
    <w:rsid w:val="00F1266A"/>
    <w:rsid w:val="00F1573E"/>
    <w:rsid w:val="00F17A86"/>
    <w:rsid w:val="00F17DC5"/>
    <w:rsid w:val="00F17F92"/>
    <w:rsid w:val="00F2387C"/>
    <w:rsid w:val="00F23CAA"/>
    <w:rsid w:val="00F27696"/>
    <w:rsid w:val="00F30256"/>
    <w:rsid w:val="00F34BA5"/>
    <w:rsid w:val="00F34D91"/>
    <w:rsid w:val="00F36DF9"/>
    <w:rsid w:val="00F407E8"/>
    <w:rsid w:val="00F456E1"/>
    <w:rsid w:val="00F5065E"/>
    <w:rsid w:val="00F509CC"/>
    <w:rsid w:val="00F543E9"/>
    <w:rsid w:val="00F54586"/>
    <w:rsid w:val="00F57974"/>
    <w:rsid w:val="00F6284A"/>
    <w:rsid w:val="00F643EC"/>
    <w:rsid w:val="00F648AF"/>
    <w:rsid w:val="00F64A84"/>
    <w:rsid w:val="00F64FA6"/>
    <w:rsid w:val="00F65EDE"/>
    <w:rsid w:val="00F7197D"/>
    <w:rsid w:val="00F73279"/>
    <w:rsid w:val="00F745F7"/>
    <w:rsid w:val="00F74CDE"/>
    <w:rsid w:val="00F76BA6"/>
    <w:rsid w:val="00F77734"/>
    <w:rsid w:val="00F80753"/>
    <w:rsid w:val="00F82567"/>
    <w:rsid w:val="00F83781"/>
    <w:rsid w:val="00F83C7F"/>
    <w:rsid w:val="00F85B77"/>
    <w:rsid w:val="00F85C21"/>
    <w:rsid w:val="00F86D5E"/>
    <w:rsid w:val="00F9385D"/>
    <w:rsid w:val="00F94A34"/>
    <w:rsid w:val="00F94D80"/>
    <w:rsid w:val="00F96367"/>
    <w:rsid w:val="00FA1986"/>
    <w:rsid w:val="00FA1E97"/>
    <w:rsid w:val="00FA2454"/>
    <w:rsid w:val="00FA321A"/>
    <w:rsid w:val="00FA3AFD"/>
    <w:rsid w:val="00FA642E"/>
    <w:rsid w:val="00FA69D7"/>
    <w:rsid w:val="00FA6EF1"/>
    <w:rsid w:val="00FA78ED"/>
    <w:rsid w:val="00FB19FA"/>
    <w:rsid w:val="00FB2103"/>
    <w:rsid w:val="00FB5CAD"/>
    <w:rsid w:val="00FC28CF"/>
    <w:rsid w:val="00FC4A18"/>
    <w:rsid w:val="00FC5958"/>
    <w:rsid w:val="00FC7CC7"/>
    <w:rsid w:val="00FD2416"/>
    <w:rsid w:val="00FD2DED"/>
    <w:rsid w:val="00FD3B3D"/>
    <w:rsid w:val="00FD573E"/>
    <w:rsid w:val="00FD64DD"/>
    <w:rsid w:val="00FD6C76"/>
    <w:rsid w:val="00FD7EE6"/>
    <w:rsid w:val="00FE1CF2"/>
    <w:rsid w:val="00FE36BB"/>
    <w:rsid w:val="00FE4A59"/>
    <w:rsid w:val="00FE4DD3"/>
    <w:rsid w:val="00FE561E"/>
    <w:rsid w:val="00FE6EE2"/>
    <w:rsid w:val="00FF0882"/>
    <w:rsid w:val="00FF5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C7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4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79D6"/>
    <w:pPr>
      <w:spacing w:after="0" w:line="240" w:lineRule="auto"/>
    </w:pPr>
  </w:style>
  <w:style w:type="paragraph" w:customStyle="1" w:styleId="Default">
    <w:name w:val="Default"/>
    <w:rsid w:val="007A79D6"/>
    <w:pPr>
      <w:autoSpaceDE w:val="0"/>
      <w:autoSpaceDN w:val="0"/>
      <w:adjustRightInd w:val="0"/>
      <w:spacing w:after="0" w:line="240" w:lineRule="auto"/>
    </w:pPr>
    <w:rPr>
      <w:rFonts w:ascii="Garamond" w:hAnsi="Garamond" w:cs="Garamond"/>
      <w:color w:val="000000"/>
      <w:sz w:val="24"/>
      <w:szCs w:val="24"/>
    </w:rPr>
  </w:style>
  <w:style w:type="paragraph" w:styleId="EndnoteText">
    <w:name w:val="endnote text"/>
    <w:basedOn w:val="Normal"/>
    <w:link w:val="EndnoteTextChar"/>
    <w:semiHidden/>
    <w:rsid w:val="004D5CE0"/>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4D5CE0"/>
    <w:rPr>
      <w:rFonts w:ascii="Calibri" w:eastAsia="Calibri" w:hAnsi="Calibri" w:cs="Times New Roman"/>
      <w:sz w:val="20"/>
      <w:szCs w:val="20"/>
    </w:rPr>
  </w:style>
  <w:style w:type="character" w:styleId="EndnoteReference">
    <w:name w:val="endnote reference"/>
    <w:basedOn w:val="DefaultParagraphFont"/>
    <w:semiHidden/>
    <w:rsid w:val="004D5CE0"/>
    <w:rPr>
      <w:vertAlign w:val="superscript"/>
    </w:rPr>
  </w:style>
  <w:style w:type="character" w:styleId="Hyperlink">
    <w:name w:val="Hyperlink"/>
    <w:basedOn w:val="DefaultParagraphFont"/>
    <w:rsid w:val="004D5CE0"/>
    <w:rPr>
      <w:color w:val="0000FF"/>
      <w:u w:val="single"/>
    </w:rPr>
  </w:style>
  <w:style w:type="paragraph" w:styleId="FootnoteText">
    <w:name w:val="footnote text"/>
    <w:basedOn w:val="Normal"/>
    <w:link w:val="FootnoteTextChar"/>
    <w:uiPriority w:val="99"/>
    <w:unhideWhenUsed/>
    <w:rsid w:val="004D5CE0"/>
    <w:pPr>
      <w:spacing w:after="0" w:line="240" w:lineRule="auto"/>
    </w:pPr>
    <w:rPr>
      <w:sz w:val="20"/>
      <w:szCs w:val="20"/>
    </w:rPr>
  </w:style>
  <w:style w:type="character" w:customStyle="1" w:styleId="FootnoteTextChar">
    <w:name w:val="Footnote Text Char"/>
    <w:basedOn w:val="DefaultParagraphFont"/>
    <w:link w:val="FootnoteText"/>
    <w:uiPriority w:val="99"/>
    <w:rsid w:val="004D5CE0"/>
    <w:rPr>
      <w:sz w:val="20"/>
      <w:szCs w:val="20"/>
    </w:rPr>
  </w:style>
  <w:style w:type="character" w:styleId="FootnoteReference">
    <w:name w:val="footnote reference"/>
    <w:basedOn w:val="DefaultParagraphFont"/>
    <w:uiPriority w:val="99"/>
    <w:semiHidden/>
    <w:unhideWhenUsed/>
    <w:rsid w:val="004D5CE0"/>
    <w:rPr>
      <w:vertAlign w:val="superscript"/>
    </w:rPr>
  </w:style>
  <w:style w:type="paragraph" w:styleId="ListParagraph">
    <w:name w:val="List Paragraph"/>
    <w:basedOn w:val="Normal"/>
    <w:uiPriority w:val="34"/>
    <w:qFormat/>
    <w:rsid w:val="00B007E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F36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3"/>
    <w:rPr>
      <w:rFonts w:ascii="Tahoma" w:hAnsi="Tahoma" w:cs="Tahoma"/>
      <w:sz w:val="16"/>
      <w:szCs w:val="16"/>
    </w:rPr>
  </w:style>
  <w:style w:type="paragraph" w:styleId="Header">
    <w:name w:val="header"/>
    <w:basedOn w:val="Normal"/>
    <w:link w:val="HeaderChar"/>
    <w:uiPriority w:val="99"/>
    <w:unhideWhenUsed/>
    <w:rsid w:val="008A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85"/>
  </w:style>
  <w:style w:type="paragraph" w:styleId="Footer">
    <w:name w:val="footer"/>
    <w:basedOn w:val="Normal"/>
    <w:link w:val="FooterChar"/>
    <w:uiPriority w:val="99"/>
    <w:unhideWhenUsed/>
    <w:rsid w:val="008A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85"/>
  </w:style>
  <w:style w:type="character" w:styleId="CommentReference">
    <w:name w:val="annotation reference"/>
    <w:basedOn w:val="DefaultParagraphFont"/>
    <w:uiPriority w:val="99"/>
    <w:semiHidden/>
    <w:unhideWhenUsed/>
    <w:rsid w:val="00913D95"/>
    <w:rPr>
      <w:sz w:val="16"/>
      <w:szCs w:val="16"/>
    </w:rPr>
  </w:style>
  <w:style w:type="paragraph" w:styleId="CommentText">
    <w:name w:val="annotation text"/>
    <w:basedOn w:val="Normal"/>
    <w:link w:val="CommentTextChar"/>
    <w:uiPriority w:val="99"/>
    <w:semiHidden/>
    <w:unhideWhenUsed/>
    <w:rsid w:val="00913D95"/>
    <w:pPr>
      <w:spacing w:line="240" w:lineRule="auto"/>
    </w:pPr>
    <w:rPr>
      <w:sz w:val="20"/>
      <w:szCs w:val="20"/>
    </w:rPr>
  </w:style>
  <w:style w:type="character" w:customStyle="1" w:styleId="CommentTextChar">
    <w:name w:val="Comment Text Char"/>
    <w:basedOn w:val="DefaultParagraphFont"/>
    <w:link w:val="CommentText"/>
    <w:uiPriority w:val="99"/>
    <w:semiHidden/>
    <w:rsid w:val="00913D95"/>
    <w:rPr>
      <w:sz w:val="20"/>
      <w:szCs w:val="20"/>
    </w:rPr>
  </w:style>
  <w:style w:type="paragraph" w:styleId="CommentSubject">
    <w:name w:val="annotation subject"/>
    <w:basedOn w:val="CommentText"/>
    <w:next w:val="CommentText"/>
    <w:link w:val="CommentSubjectChar"/>
    <w:uiPriority w:val="99"/>
    <w:semiHidden/>
    <w:unhideWhenUsed/>
    <w:rsid w:val="00913D95"/>
    <w:rPr>
      <w:b/>
      <w:bCs/>
    </w:rPr>
  </w:style>
  <w:style w:type="character" w:customStyle="1" w:styleId="CommentSubjectChar">
    <w:name w:val="Comment Subject Char"/>
    <w:basedOn w:val="CommentTextChar"/>
    <w:link w:val="CommentSubject"/>
    <w:uiPriority w:val="99"/>
    <w:semiHidden/>
    <w:rsid w:val="00913D95"/>
    <w:rPr>
      <w:b/>
      <w:bCs/>
      <w:sz w:val="20"/>
      <w:szCs w:val="20"/>
    </w:rPr>
  </w:style>
  <w:style w:type="paragraph" w:styleId="NormalWeb">
    <w:name w:val="Normal (Web)"/>
    <w:basedOn w:val="Normal"/>
    <w:uiPriority w:val="99"/>
    <w:unhideWhenUsed/>
    <w:rsid w:val="00E96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B5438"/>
  </w:style>
  <w:style w:type="character" w:styleId="Strong">
    <w:name w:val="Strong"/>
    <w:basedOn w:val="DefaultParagraphFont"/>
    <w:uiPriority w:val="22"/>
    <w:qFormat/>
    <w:rsid w:val="007459DB"/>
    <w:rPr>
      <w:b/>
      <w:bCs/>
    </w:rPr>
  </w:style>
  <w:style w:type="character" w:styleId="Emphasis">
    <w:name w:val="Emphasis"/>
    <w:basedOn w:val="DefaultParagraphFont"/>
    <w:uiPriority w:val="20"/>
    <w:qFormat/>
    <w:rsid w:val="00820A71"/>
    <w:rPr>
      <w:i/>
      <w:iCs/>
    </w:rPr>
  </w:style>
  <w:style w:type="character" w:customStyle="1" w:styleId="Heading1Char">
    <w:name w:val="Heading 1 Char"/>
    <w:basedOn w:val="DefaultParagraphFont"/>
    <w:link w:val="Heading1"/>
    <w:uiPriority w:val="9"/>
    <w:rsid w:val="003C14E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C14E9"/>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4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79D6"/>
    <w:pPr>
      <w:spacing w:after="0" w:line="240" w:lineRule="auto"/>
    </w:pPr>
  </w:style>
  <w:style w:type="paragraph" w:customStyle="1" w:styleId="Default">
    <w:name w:val="Default"/>
    <w:rsid w:val="007A79D6"/>
    <w:pPr>
      <w:autoSpaceDE w:val="0"/>
      <w:autoSpaceDN w:val="0"/>
      <w:adjustRightInd w:val="0"/>
      <w:spacing w:after="0" w:line="240" w:lineRule="auto"/>
    </w:pPr>
    <w:rPr>
      <w:rFonts w:ascii="Garamond" w:hAnsi="Garamond" w:cs="Garamond"/>
      <w:color w:val="000000"/>
      <w:sz w:val="24"/>
      <w:szCs w:val="24"/>
    </w:rPr>
  </w:style>
  <w:style w:type="paragraph" w:styleId="EndnoteText">
    <w:name w:val="endnote text"/>
    <w:basedOn w:val="Normal"/>
    <w:link w:val="EndnoteTextChar"/>
    <w:semiHidden/>
    <w:rsid w:val="004D5CE0"/>
    <w:rPr>
      <w:rFonts w:ascii="Calibri" w:eastAsia="Calibri" w:hAnsi="Calibri" w:cs="Times New Roman"/>
      <w:sz w:val="20"/>
      <w:szCs w:val="20"/>
    </w:rPr>
  </w:style>
  <w:style w:type="character" w:customStyle="1" w:styleId="EndnoteTextChar">
    <w:name w:val="Endnote Text Char"/>
    <w:basedOn w:val="DefaultParagraphFont"/>
    <w:link w:val="EndnoteText"/>
    <w:semiHidden/>
    <w:rsid w:val="004D5CE0"/>
    <w:rPr>
      <w:rFonts w:ascii="Calibri" w:eastAsia="Calibri" w:hAnsi="Calibri" w:cs="Times New Roman"/>
      <w:sz w:val="20"/>
      <w:szCs w:val="20"/>
    </w:rPr>
  </w:style>
  <w:style w:type="character" w:styleId="EndnoteReference">
    <w:name w:val="endnote reference"/>
    <w:basedOn w:val="DefaultParagraphFont"/>
    <w:semiHidden/>
    <w:rsid w:val="004D5CE0"/>
    <w:rPr>
      <w:vertAlign w:val="superscript"/>
    </w:rPr>
  </w:style>
  <w:style w:type="character" w:styleId="Hyperlink">
    <w:name w:val="Hyperlink"/>
    <w:basedOn w:val="DefaultParagraphFont"/>
    <w:rsid w:val="004D5CE0"/>
    <w:rPr>
      <w:color w:val="0000FF"/>
      <w:u w:val="single"/>
    </w:rPr>
  </w:style>
  <w:style w:type="paragraph" w:styleId="FootnoteText">
    <w:name w:val="footnote text"/>
    <w:basedOn w:val="Normal"/>
    <w:link w:val="FootnoteTextChar"/>
    <w:uiPriority w:val="99"/>
    <w:unhideWhenUsed/>
    <w:rsid w:val="004D5CE0"/>
    <w:pPr>
      <w:spacing w:after="0" w:line="240" w:lineRule="auto"/>
    </w:pPr>
    <w:rPr>
      <w:sz w:val="20"/>
      <w:szCs w:val="20"/>
    </w:rPr>
  </w:style>
  <w:style w:type="character" w:customStyle="1" w:styleId="FootnoteTextChar">
    <w:name w:val="Footnote Text Char"/>
    <w:basedOn w:val="DefaultParagraphFont"/>
    <w:link w:val="FootnoteText"/>
    <w:uiPriority w:val="99"/>
    <w:rsid w:val="004D5CE0"/>
    <w:rPr>
      <w:sz w:val="20"/>
      <w:szCs w:val="20"/>
    </w:rPr>
  </w:style>
  <w:style w:type="character" w:styleId="FootnoteReference">
    <w:name w:val="footnote reference"/>
    <w:basedOn w:val="DefaultParagraphFont"/>
    <w:uiPriority w:val="99"/>
    <w:semiHidden/>
    <w:unhideWhenUsed/>
    <w:rsid w:val="004D5CE0"/>
    <w:rPr>
      <w:vertAlign w:val="superscript"/>
    </w:rPr>
  </w:style>
  <w:style w:type="paragraph" w:styleId="ListParagraph">
    <w:name w:val="List Paragraph"/>
    <w:basedOn w:val="Normal"/>
    <w:uiPriority w:val="34"/>
    <w:qFormat/>
    <w:rsid w:val="00B007E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F36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3"/>
    <w:rPr>
      <w:rFonts w:ascii="Tahoma" w:hAnsi="Tahoma" w:cs="Tahoma"/>
      <w:sz w:val="16"/>
      <w:szCs w:val="16"/>
    </w:rPr>
  </w:style>
  <w:style w:type="paragraph" w:styleId="Header">
    <w:name w:val="header"/>
    <w:basedOn w:val="Normal"/>
    <w:link w:val="HeaderChar"/>
    <w:uiPriority w:val="99"/>
    <w:unhideWhenUsed/>
    <w:rsid w:val="008A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85"/>
  </w:style>
  <w:style w:type="paragraph" w:styleId="Footer">
    <w:name w:val="footer"/>
    <w:basedOn w:val="Normal"/>
    <w:link w:val="FooterChar"/>
    <w:uiPriority w:val="99"/>
    <w:unhideWhenUsed/>
    <w:rsid w:val="008A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F85"/>
  </w:style>
  <w:style w:type="character" w:styleId="CommentReference">
    <w:name w:val="annotation reference"/>
    <w:basedOn w:val="DefaultParagraphFont"/>
    <w:uiPriority w:val="99"/>
    <w:semiHidden/>
    <w:unhideWhenUsed/>
    <w:rsid w:val="00913D95"/>
    <w:rPr>
      <w:sz w:val="16"/>
      <w:szCs w:val="16"/>
    </w:rPr>
  </w:style>
  <w:style w:type="paragraph" w:styleId="CommentText">
    <w:name w:val="annotation text"/>
    <w:basedOn w:val="Normal"/>
    <w:link w:val="CommentTextChar"/>
    <w:uiPriority w:val="99"/>
    <w:semiHidden/>
    <w:unhideWhenUsed/>
    <w:rsid w:val="00913D95"/>
    <w:pPr>
      <w:spacing w:line="240" w:lineRule="auto"/>
    </w:pPr>
    <w:rPr>
      <w:sz w:val="20"/>
      <w:szCs w:val="20"/>
    </w:rPr>
  </w:style>
  <w:style w:type="character" w:customStyle="1" w:styleId="CommentTextChar">
    <w:name w:val="Comment Text Char"/>
    <w:basedOn w:val="DefaultParagraphFont"/>
    <w:link w:val="CommentText"/>
    <w:uiPriority w:val="99"/>
    <w:semiHidden/>
    <w:rsid w:val="00913D95"/>
    <w:rPr>
      <w:sz w:val="20"/>
      <w:szCs w:val="20"/>
    </w:rPr>
  </w:style>
  <w:style w:type="paragraph" w:styleId="CommentSubject">
    <w:name w:val="annotation subject"/>
    <w:basedOn w:val="CommentText"/>
    <w:next w:val="CommentText"/>
    <w:link w:val="CommentSubjectChar"/>
    <w:uiPriority w:val="99"/>
    <w:semiHidden/>
    <w:unhideWhenUsed/>
    <w:rsid w:val="00913D95"/>
    <w:rPr>
      <w:b/>
      <w:bCs/>
    </w:rPr>
  </w:style>
  <w:style w:type="character" w:customStyle="1" w:styleId="CommentSubjectChar">
    <w:name w:val="Comment Subject Char"/>
    <w:basedOn w:val="CommentTextChar"/>
    <w:link w:val="CommentSubject"/>
    <w:uiPriority w:val="99"/>
    <w:semiHidden/>
    <w:rsid w:val="00913D95"/>
    <w:rPr>
      <w:b/>
      <w:bCs/>
      <w:sz w:val="20"/>
      <w:szCs w:val="20"/>
    </w:rPr>
  </w:style>
  <w:style w:type="paragraph" w:styleId="NormalWeb">
    <w:name w:val="Normal (Web)"/>
    <w:basedOn w:val="Normal"/>
    <w:uiPriority w:val="99"/>
    <w:unhideWhenUsed/>
    <w:rsid w:val="00E96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B5438"/>
  </w:style>
  <w:style w:type="character" w:styleId="Strong">
    <w:name w:val="Strong"/>
    <w:basedOn w:val="DefaultParagraphFont"/>
    <w:uiPriority w:val="22"/>
    <w:qFormat/>
    <w:rsid w:val="007459DB"/>
    <w:rPr>
      <w:b/>
      <w:bCs/>
    </w:rPr>
  </w:style>
  <w:style w:type="character" w:styleId="Emphasis">
    <w:name w:val="Emphasis"/>
    <w:basedOn w:val="DefaultParagraphFont"/>
    <w:uiPriority w:val="20"/>
    <w:qFormat/>
    <w:rsid w:val="00820A71"/>
    <w:rPr>
      <w:i/>
      <w:iCs/>
    </w:rPr>
  </w:style>
  <w:style w:type="character" w:customStyle="1" w:styleId="Heading1Char">
    <w:name w:val="Heading 1 Char"/>
    <w:basedOn w:val="DefaultParagraphFont"/>
    <w:link w:val="Heading1"/>
    <w:uiPriority w:val="9"/>
    <w:rsid w:val="003C14E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C14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34773">
      <w:bodyDiv w:val="1"/>
      <w:marLeft w:val="0"/>
      <w:marRight w:val="0"/>
      <w:marTop w:val="0"/>
      <w:marBottom w:val="0"/>
      <w:divBdr>
        <w:top w:val="none" w:sz="0" w:space="0" w:color="auto"/>
        <w:left w:val="none" w:sz="0" w:space="0" w:color="auto"/>
        <w:bottom w:val="none" w:sz="0" w:space="0" w:color="auto"/>
        <w:right w:val="none" w:sz="0" w:space="0" w:color="auto"/>
      </w:divBdr>
    </w:div>
    <w:div w:id="327443085">
      <w:bodyDiv w:val="1"/>
      <w:marLeft w:val="0"/>
      <w:marRight w:val="0"/>
      <w:marTop w:val="0"/>
      <w:marBottom w:val="0"/>
      <w:divBdr>
        <w:top w:val="none" w:sz="0" w:space="0" w:color="auto"/>
        <w:left w:val="none" w:sz="0" w:space="0" w:color="auto"/>
        <w:bottom w:val="none" w:sz="0" w:space="0" w:color="auto"/>
        <w:right w:val="none" w:sz="0" w:space="0" w:color="auto"/>
      </w:divBdr>
      <w:divsChild>
        <w:div w:id="27876752">
          <w:marLeft w:val="1094"/>
          <w:marRight w:val="0"/>
          <w:marTop w:val="106"/>
          <w:marBottom w:val="0"/>
          <w:divBdr>
            <w:top w:val="none" w:sz="0" w:space="0" w:color="auto"/>
            <w:left w:val="none" w:sz="0" w:space="0" w:color="auto"/>
            <w:bottom w:val="none" w:sz="0" w:space="0" w:color="auto"/>
            <w:right w:val="none" w:sz="0" w:space="0" w:color="auto"/>
          </w:divBdr>
        </w:div>
        <w:div w:id="246772969">
          <w:marLeft w:val="1094"/>
          <w:marRight w:val="0"/>
          <w:marTop w:val="106"/>
          <w:marBottom w:val="0"/>
          <w:divBdr>
            <w:top w:val="none" w:sz="0" w:space="0" w:color="auto"/>
            <w:left w:val="none" w:sz="0" w:space="0" w:color="auto"/>
            <w:bottom w:val="none" w:sz="0" w:space="0" w:color="auto"/>
            <w:right w:val="none" w:sz="0" w:space="0" w:color="auto"/>
          </w:divBdr>
        </w:div>
        <w:div w:id="756512448">
          <w:marLeft w:val="1094"/>
          <w:marRight w:val="0"/>
          <w:marTop w:val="106"/>
          <w:marBottom w:val="0"/>
          <w:divBdr>
            <w:top w:val="none" w:sz="0" w:space="0" w:color="auto"/>
            <w:left w:val="none" w:sz="0" w:space="0" w:color="auto"/>
            <w:bottom w:val="none" w:sz="0" w:space="0" w:color="auto"/>
            <w:right w:val="none" w:sz="0" w:space="0" w:color="auto"/>
          </w:divBdr>
        </w:div>
        <w:div w:id="1130979008">
          <w:marLeft w:val="1094"/>
          <w:marRight w:val="0"/>
          <w:marTop w:val="106"/>
          <w:marBottom w:val="0"/>
          <w:divBdr>
            <w:top w:val="none" w:sz="0" w:space="0" w:color="auto"/>
            <w:left w:val="none" w:sz="0" w:space="0" w:color="auto"/>
            <w:bottom w:val="none" w:sz="0" w:space="0" w:color="auto"/>
            <w:right w:val="none" w:sz="0" w:space="0" w:color="auto"/>
          </w:divBdr>
        </w:div>
        <w:div w:id="1218518108">
          <w:marLeft w:val="1094"/>
          <w:marRight w:val="0"/>
          <w:marTop w:val="106"/>
          <w:marBottom w:val="0"/>
          <w:divBdr>
            <w:top w:val="none" w:sz="0" w:space="0" w:color="auto"/>
            <w:left w:val="none" w:sz="0" w:space="0" w:color="auto"/>
            <w:bottom w:val="none" w:sz="0" w:space="0" w:color="auto"/>
            <w:right w:val="none" w:sz="0" w:space="0" w:color="auto"/>
          </w:divBdr>
        </w:div>
        <w:div w:id="2071463937">
          <w:marLeft w:val="1094"/>
          <w:marRight w:val="0"/>
          <w:marTop w:val="106"/>
          <w:marBottom w:val="0"/>
          <w:divBdr>
            <w:top w:val="none" w:sz="0" w:space="0" w:color="auto"/>
            <w:left w:val="none" w:sz="0" w:space="0" w:color="auto"/>
            <w:bottom w:val="none" w:sz="0" w:space="0" w:color="auto"/>
            <w:right w:val="none" w:sz="0" w:space="0" w:color="auto"/>
          </w:divBdr>
        </w:div>
      </w:divsChild>
    </w:div>
    <w:div w:id="438061418">
      <w:bodyDiv w:val="1"/>
      <w:marLeft w:val="0"/>
      <w:marRight w:val="0"/>
      <w:marTop w:val="0"/>
      <w:marBottom w:val="0"/>
      <w:divBdr>
        <w:top w:val="none" w:sz="0" w:space="0" w:color="auto"/>
        <w:left w:val="none" w:sz="0" w:space="0" w:color="auto"/>
        <w:bottom w:val="none" w:sz="0" w:space="0" w:color="auto"/>
        <w:right w:val="none" w:sz="0" w:space="0" w:color="auto"/>
      </w:divBdr>
    </w:div>
    <w:div w:id="451018930">
      <w:bodyDiv w:val="1"/>
      <w:marLeft w:val="0"/>
      <w:marRight w:val="0"/>
      <w:marTop w:val="0"/>
      <w:marBottom w:val="0"/>
      <w:divBdr>
        <w:top w:val="none" w:sz="0" w:space="0" w:color="auto"/>
        <w:left w:val="none" w:sz="0" w:space="0" w:color="auto"/>
        <w:bottom w:val="none" w:sz="0" w:space="0" w:color="auto"/>
        <w:right w:val="none" w:sz="0" w:space="0" w:color="auto"/>
      </w:divBdr>
    </w:div>
    <w:div w:id="451170146">
      <w:bodyDiv w:val="1"/>
      <w:marLeft w:val="0"/>
      <w:marRight w:val="0"/>
      <w:marTop w:val="0"/>
      <w:marBottom w:val="0"/>
      <w:divBdr>
        <w:top w:val="none" w:sz="0" w:space="0" w:color="auto"/>
        <w:left w:val="none" w:sz="0" w:space="0" w:color="auto"/>
        <w:bottom w:val="none" w:sz="0" w:space="0" w:color="auto"/>
        <w:right w:val="none" w:sz="0" w:space="0" w:color="auto"/>
      </w:divBdr>
    </w:div>
    <w:div w:id="534125663">
      <w:bodyDiv w:val="1"/>
      <w:marLeft w:val="0"/>
      <w:marRight w:val="0"/>
      <w:marTop w:val="0"/>
      <w:marBottom w:val="0"/>
      <w:divBdr>
        <w:top w:val="none" w:sz="0" w:space="0" w:color="auto"/>
        <w:left w:val="none" w:sz="0" w:space="0" w:color="auto"/>
        <w:bottom w:val="none" w:sz="0" w:space="0" w:color="auto"/>
        <w:right w:val="none" w:sz="0" w:space="0" w:color="auto"/>
      </w:divBdr>
    </w:div>
    <w:div w:id="593131873">
      <w:bodyDiv w:val="1"/>
      <w:marLeft w:val="0"/>
      <w:marRight w:val="0"/>
      <w:marTop w:val="0"/>
      <w:marBottom w:val="0"/>
      <w:divBdr>
        <w:top w:val="none" w:sz="0" w:space="0" w:color="auto"/>
        <w:left w:val="none" w:sz="0" w:space="0" w:color="auto"/>
        <w:bottom w:val="none" w:sz="0" w:space="0" w:color="auto"/>
        <w:right w:val="none" w:sz="0" w:space="0" w:color="auto"/>
      </w:divBdr>
      <w:divsChild>
        <w:div w:id="408574563">
          <w:marLeft w:val="0"/>
          <w:marRight w:val="0"/>
          <w:marTop w:val="132"/>
          <w:marBottom w:val="0"/>
          <w:divBdr>
            <w:top w:val="none" w:sz="0" w:space="0" w:color="auto"/>
            <w:left w:val="none" w:sz="0" w:space="0" w:color="auto"/>
            <w:bottom w:val="none" w:sz="0" w:space="0" w:color="auto"/>
            <w:right w:val="none" w:sz="0" w:space="0" w:color="auto"/>
          </w:divBdr>
        </w:div>
      </w:divsChild>
    </w:div>
    <w:div w:id="680939407">
      <w:bodyDiv w:val="1"/>
      <w:marLeft w:val="0"/>
      <w:marRight w:val="0"/>
      <w:marTop w:val="0"/>
      <w:marBottom w:val="0"/>
      <w:divBdr>
        <w:top w:val="none" w:sz="0" w:space="0" w:color="auto"/>
        <w:left w:val="none" w:sz="0" w:space="0" w:color="auto"/>
        <w:bottom w:val="none" w:sz="0" w:space="0" w:color="auto"/>
        <w:right w:val="none" w:sz="0" w:space="0" w:color="auto"/>
      </w:divBdr>
      <w:divsChild>
        <w:div w:id="336277497">
          <w:marLeft w:val="547"/>
          <w:marRight w:val="0"/>
          <w:marTop w:val="288"/>
          <w:marBottom w:val="288"/>
          <w:divBdr>
            <w:top w:val="none" w:sz="0" w:space="0" w:color="auto"/>
            <w:left w:val="none" w:sz="0" w:space="0" w:color="auto"/>
            <w:bottom w:val="none" w:sz="0" w:space="0" w:color="auto"/>
            <w:right w:val="none" w:sz="0" w:space="0" w:color="auto"/>
          </w:divBdr>
        </w:div>
        <w:div w:id="725881231">
          <w:marLeft w:val="547"/>
          <w:marRight w:val="0"/>
          <w:marTop w:val="264"/>
          <w:marBottom w:val="264"/>
          <w:divBdr>
            <w:top w:val="none" w:sz="0" w:space="0" w:color="auto"/>
            <w:left w:val="none" w:sz="0" w:space="0" w:color="auto"/>
            <w:bottom w:val="none" w:sz="0" w:space="0" w:color="auto"/>
            <w:right w:val="none" w:sz="0" w:space="0" w:color="auto"/>
          </w:divBdr>
        </w:div>
        <w:div w:id="1900551471">
          <w:marLeft w:val="547"/>
          <w:marRight w:val="0"/>
          <w:marTop w:val="288"/>
          <w:marBottom w:val="288"/>
          <w:divBdr>
            <w:top w:val="none" w:sz="0" w:space="0" w:color="auto"/>
            <w:left w:val="none" w:sz="0" w:space="0" w:color="auto"/>
            <w:bottom w:val="none" w:sz="0" w:space="0" w:color="auto"/>
            <w:right w:val="none" w:sz="0" w:space="0" w:color="auto"/>
          </w:divBdr>
        </w:div>
      </w:divsChild>
    </w:div>
    <w:div w:id="836267458">
      <w:bodyDiv w:val="1"/>
      <w:marLeft w:val="0"/>
      <w:marRight w:val="0"/>
      <w:marTop w:val="0"/>
      <w:marBottom w:val="0"/>
      <w:divBdr>
        <w:top w:val="none" w:sz="0" w:space="0" w:color="auto"/>
        <w:left w:val="none" w:sz="0" w:space="0" w:color="auto"/>
        <w:bottom w:val="none" w:sz="0" w:space="0" w:color="auto"/>
        <w:right w:val="none" w:sz="0" w:space="0" w:color="auto"/>
      </w:divBdr>
    </w:div>
    <w:div w:id="1061638402">
      <w:bodyDiv w:val="1"/>
      <w:marLeft w:val="0"/>
      <w:marRight w:val="0"/>
      <w:marTop w:val="0"/>
      <w:marBottom w:val="0"/>
      <w:divBdr>
        <w:top w:val="none" w:sz="0" w:space="0" w:color="auto"/>
        <w:left w:val="none" w:sz="0" w:space="0" w:color="auto"/>
        <w:bottom w:val="none" w:sz="0" w:space="0" w:color="auto"/>
        <w:right w:val="none" w:sz="0" w:space="0" w:color="auto"/>
      </w:divBdr>
    </w:div>
    <w:div w:id="1091509061">
      <w:bodyDiv w:val="1"/>
      <w:marLeft w:val="0"/>
      <w:marRight w:val="0"/>
      <w:marTop w:val="0"/>
      <w:marBottom w:val="0"/>
      <w:divBdr>
        <w:top w:val="none" w:sz="0" w:space="0" w:color="auto"/>
        <w:left w:val="none" w:sz="0" w:space="0" w:color="auto"/>
        <w:bottom w:val="none" w:sz="0" w:space="0" w:color="auto"/>
        <w:right w:val="none" w:sz="0" w:space="0" w:color="auto"/>
      </w:divBdr>
    </w:div>
    <w:div w:id="1146552524">
      <w:bodyDiv w:val="1"/>
      <w:marLeft w:val="0"/>
      <w:marRight w:val="0"/>
      <w:marTop w:val="0"/>
      <w:marBottom w:val="0"/>
      <w:divBdr>
        <w:top w:val="none" w:sz="0" w:space="0" w:color="auto"/>
        <w:left w:val="none" w:sz="0" w:space="0" w:color="auto"/>
        <w:bottom w:val="none" w:sz="0" w:space="0" w:color="auto"/>
        <w:right w:val="none" w:sz="0" w:space="0" w:color="auto"/>
      </w:divBdr>
    </w:div>
    <w:div w:id="1159078025">
      <w:bodyDiv w:val="1"/>
      <w:marLeft w:val="0"/>
      <w:marRight w:val="0"/>
      <w:marTop w:val="0"/>
      <w:marBottom w:val="0"/>
      <w:divBdr>
        <w:top w:val="none" w:sz="0" w:space="0" w:color="auto"/>
        <w:left w:val="none" w:sz="0" w:space="0" w:color="auto"/>
        <w:bottom w:val="none" w:sz="0" w:space="0" w:color="auto"/>
        <w:right w:val="none" w:sz="0" w:space="0" w:color="auto"/>
      </w:divBdr>
    </w:div>
    <w:div w:id="1457723023">
      <w:bodyDiv w:val="1"/>
      <w:marLeft w:val="0"/>
      <w:marRight w:val="0"/>
      <w:marTop w:val="0"/>
      <w:marBottom w:val="0"/>
      <w:divBdr>
        <w:top w:val="none" w:sz="0" w:space="0" w:color="auto"/>
        <w:left w:val="none" w:sz="0" w:space="0" w:color="auto"/>
        <w:bottom w:val="none" w:sz="0" w:space="0" w:color="auto"/>
        <w:right w:val="none" w:sz="0" w:space="0" w:color="auto"/>
      </w:divBdr>
      <w:divsChild>
        <w:div w:id="151724481">
          <w:marLeft w:val="806"/>
          <w:marRight w:val="0"/>
          <w:marTop w:val="82"/>
          <w:marBottom w:val="0"/>
          <w:divBdr>
            <w:top w:val="none" w:sz="0" w:space="0" w:color="auto"/>
            <w:left w:val="none" w:sz="0" w:space="0" w:color="auto"/>
            <w:bottom w:val="none" w:sz="0" w:space="0" w:color="auto"/>
            <w:right w:val="none" w:sz="0" w:space="0" w:color="auto"/>
          </w:divBdr>
        </w:div>
        <w:div w:id="251083246">
          <w:marLeft w:val="806"/>
          <w:marRight w:val="0"/>
          <w:marTop w:val="82"/>
          <w:marBottom w:val="0"/>
          <w:divBdr>
            <w:top w:val="none" w:sz="0" w:space="0" w:color="auto"/>
            <w:left w:val="none" w:sz="0" w:space="0" w:color="auto"/>
            <w:bottom w:val="none" w:sz="0" w:space="0" w:color="auto"/>
            <w:right w:val="none" w:sz="0" w:space="0" w:color="auto"/>
          </w:divBdr>
        </w:div>
        <w:div w:id="1840002214">
          <w:marLeft w:val="806"/>
          <w:marRight w:val="0"/>
          <w:marTop w:val="82"/>
          <w:marBottom w:val="0"/>
          <w:divBdr>
            <w:top w:val="none" w:sz="0" w:space="0" w:color="auto"/>
            <w:left w:val="none" w:sz="0" w:space="0" w:color="auto"/>
            <w:bottom w:val="none" w:sz="0" w:space="0" w:color="auto"/>
            <w:right w:val="none" w:sz="0" w:space="0" w:color="auto"/>
          </w:divBdr>
        </w:div>
      </w:divsChild>
    </w:div>
    <w:div w:id="1586576056">
      <w:bodyDiv w:val="1"/>
      <w:marLeft w:val="0"/>
      <w:marRight w:val="0"/>
      <w:marTop w:val="0"/>
      <w:marBottom w:val="0"/>
      <w:divBdr>
        <w:top w:val="none" w:sz="0" w:space="0" w:color="auto"/>
        <w:left w:val="none" w:sz="0" w:space="0" w:color="auto"/>
        <w:bottom w:val="none" w:sz="0" w:space="0" w:color="auto"/>
        <w:right w:val="none" w:sz="0" w:space="0" w:color="auto"/>
      </w:divBdr>
      <w:divsChild>
        <w:div w:id="393938500">
          <w:marLeft w:val="547"/>
          <w:marRight w:val="0"/>
          <w:marTop w:val="264"/>
          <w:marBottom w:val="264"/>
          <w:divBdr>
            <w:top w:val="none" w:sz="0" w:space="0" w:color="auto"/>
            <w:left w:val="none" w:sz="0" w:space="0" w:color="auto"/>
            <w:bottom w:val="none" w:sz="0" w:space="0" w:color="auto"/>
            <w:right w:val="none" w:sz="0" w:space="0" w:color="auto"/>
          </w:divBdr>
        </w:div>
        <w:div w:id="1056465320">
          <w:marLeft w:val="547"/>
          <w:marRight w:val="0"/>
          <w:marTop w:val="288"/>
          <w:marBottom w:val="288"/>
          <w:divBdr>
            <w:top w:val="none" w:sz="0" w:space="0" w:color="auto"/>
            <w:left w:val="none" w:sz="0" w:space="0" w:color="auto"/>
            <w:bottom w:val="none" w:sz="0" w:space="0" w:color="auto"/>
            <w:right w:val="none" w:sz="0" w:space="0" w:color="auto"/>
          </w:divBdr>
        </w:div>
        <w:div w:id="1730760738">
          <w:marLeft w:val="547"/>
          <w:marRight w:val="0"/>
          <w:marTop w:val="288"/>
          <w:marBottom w:val="288"/>
          <w:divBdr>
            <w:top w:val="none" w:sz="0" w:space="0" w:color="auto"/>
            <w:left w:val="none" w:sz="0" w:space="0" w:color="auto"/>
            <w:bottom w:val="none" w:sz="0" w:space="0" w:color="auto"/>
            <w:right w:val="none" w:sz="0" w:space="0" w:color="auto"/>
          </w:divBdr>
        </w:div>
      </w:divsChild>
    </w:div>
    <w:div w:id="1813980562">
      <w:bodyDiv w:val="1"/>
      <w:marLeft w:val="0"/>
      <w:marRight w:val="0"/>
      <w:marTop w:val="0"/>
      <w:marBottom w:val="0"/>
      <w:divBdr>
        <w:top w:val="none" w:sz="0" w:space="0" w:color="auto"/>
        <w:left w:val="none" w:sz="0" w:space="0" w:color="auto"/>
        <w:bottom w:val="none" w:sz="0" w:space="0" w:color="auto"/>
        <w:right w:val="none" w:sz="0" w:space="0" w:color="auto"/>
      </w:divBdr>
    </w:div>
    <w:div w:id="1847285538">
      <w:bodyDiv w:val="1"/>
      <w:marLeft w:val="0"/>
      <w:marRight w:val="0"/>
      <w:marTop w:val="0"/>
      <w:marBottom w:val="0"/>
      <w:divBdr>
        <w:top w:val="none" w:sz="0" w:space="0" w:color="auto"/>
        <w:left w:val="none" w:sz="0" w:space="0" w:color="auto"/>
        <w:bottom w:val="none" w:sz="0" w:space="0" w:color="auto"/>
        <w:right w:val="none" w:sz="0" w:space="0" w:color="auto"/>
      </w:divBdr>
    </w:div>
    <w:div w:id="1851597822">
      <w:bodyDiv w:val="1"/>
      <w:marLeft w:val="0"/>
      <w:marRight w:val="0"/>
      <w:marTop w:val="0"/>
      <w:marBottom w:val="0"/>
      <w:divBdr>
        <w:top w:val="none" w:sz="0" w:space="0" w:color="auto"/>
        <w:left w:val="none" w:sz="0" w:space="0" w:color="auto"/>
        <w:bottom w:val="none" w:sz="0" w:space="0" w:color="auto"/>
        <w:right w:val="none" w:sz="0" w:space="0" w:color="auto"/>
      </w:divBdr>
    </w:div>
    <w:div w:id="1884053272">
      <w:bodyDiv w:val="1"/>
      <w:marLeft w:val="0"/>
      <w:marRight w:val="0"/>
      <w:marTop w:val="0"/>
      <w:marBottom w:val="0"/>
      <w:divBdr>
        <w:top w:val="none" w:sz="0" w:space="0" w:color="auto"/>
        <w:left w:val="none" w:sz="0" w:space="0" w:color="auto"/>
        <w:bottom w:val="none" w:sz="0" w:space="0" w:color="auto"/>
        <w:right w:val="none" w:sz="0" w:space="0" w:color="auto"/>
      </w:divBdr>
    </w:div>
    <w:div w:id="1896231767">
      <w:bodyDiv w:val="1"/>
      <w:marLeft w:val="0"/>
      <w:marRight w:val="0"/>
      <w:marTop w:val="0"/>
      <w:marBottom w:val="0"/>
      <w:divBdr>
        <w:top w:val="none" w:sz="0" w:space="0" w:color="auto"/>
        <w:left w:val="none" w:sz="0" w:space="0" w:color="auto"/>
        <w:bottom w:val="none" w:sz="0" w:space="0" w:color="auto"/>
        <w:right w:val="none" w:sz="0" w:space="0" w:color="auto"/>
      </w:divBdr>
    </w:div>
    <w:div w:id="2019841569">
      <w:bodyDiv w:val="1"/>
      <w:marLeft w:val="0"/>
      <w:marRight w:val="0"/>
      <w:marTop w:val="0"/>
      <w:marBottom w:val="0"/>
      <w:divBdr>
        <w:top w:val="none" w:sz="0" w:space="0" w:color="auto"/>
        <w:left w:val="none" w:sz="0" w:space="0" w:color="auto"/>
        <w:bottom w:val="none" w:sz="0" w:space="0" w:color="auto"/>
        <w:right w:val="none" w:sz="0" w:space="0" w:color="auto"/>
      </w:divBdr>
    </w:div>
    <w:div w:id="2095349026">
      <w:bodyDiv w:val="1"/>
      <w:marLeft w:val="0"/>
      <w:marRight w:val="0"/>
      <w:marTop w:val="0"/>
      <w:marBottom w:val="0"/>
      <w:divBdr>
        <w:top w:val="none" w:sz="0" w:space="0" w:color="auto"/>
        <w:left w:val="none" w:sz="0" w:space="0" w:color="auto"/>
        <w:bottom w:val="none" w:sz="0" w:space="0" w:color="auto"/>
        <w:right w:val="none" w:sz="0" w:space="0" w:color="auto"/>
      </w:divBdr>
    </w:div>
    <w:div w:id="21300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2.xml"/>
  <Relationship Id="rId11" Type="http://schemas.openxmlformats.org/officeDocument/2006/relationships/chart" Target="charts/chart3.xml"/>
  <Relationship Id="rId12" Type="http://schemas.openxmlformats.org/officeDocument/2006/relationships/chart" Target="charts/chart4.xm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hart" Target="charts/chart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hci3.org/sites/default/files/files/The%20History%20of%20the%20development%20of%20the%20Prometheus%20PACs%20Aug%202010%281%29.pdf"/>
  <Relationship Id="rId2" Type="http://schemas.openxmlformats.org/officeDocument/2006/relationships/hyperlink" TargetMode="External" Target="http://www.mass.gov/chia/docs/r/pubs/11/bundled-payments-report-02-2011.pdf"/>
  <Relationship Id="rId3" Type="http://schemas.openxmlformats.org/officeDocument/2006/relationships/hyperlink" TargetMode="External" Target="http://www.rwjf.org/en/research-publications/find-rwjf-research/2009/06/what-is-prometheus-payment-.html"/>
  <Relationship Id="rId4" Type="http://schemas.openxmlformats.org/officeDocument/2006/relationships/hyperlink" TargetMode="External" Target="http://www.prometheuspayment.org"/>
  <Relationship Id="rId5" Type="http://schemas.openxmlformats.org/officeDocument/2006/relationships/hyperlink" TargetMode="External" Target="http://www.dartmouthatlas.org/"/>
  <Relationship Id="rId6" Type="http://schemas.openxmlformats.org/officeDocument/2006/relationships/hyperlink" TargetMode="External" Target="http://www.prometheuspayment.org/sites/default/files/files/Prometheus%20ECR%20Manual%20V3_5_2.pdf"/>
</Relationships>

</file>

<file path=word/charts/_rels/chart1.xml.rels><?xml version="1.0" encoding="UTF-8"?>

<Relationships xmlns="http://schemas.openxmlformats.org/package/2006/relationships">
  <Relationship Id="rId1" Type="http://schemas.openxmlformats.org/officeDocument/2006/relationships/oleObject" TargetMode="External" Target="file://///HCF10/users/plai/DHCFP/Bundle%20Payment/Report/Volume%202/Tables%20and%20Figures%20for%20Bundled%20Payments%20Volume%202_1230.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HCF10/users/plai/DHCFP/Bundle%20Payment/Report/Volume%202/Tables%20and%20Figures%20for%20Bundled%20Payments%20Volume%202_1230.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HCF10/users/plai/DHCFP/Bundle%20Payment/Report/Volume%202/Tables%20and%20Figures%20for%20Bundled%20Payments%20Volume%202_1230.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HCF10/users/plai/DHCFP/Bundle%20Payment/Report/Volume%202/Tables%20and%20Figures%20for%20Bundled%20Payments%20Volume%202_1230.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 ES.1'!$C$25</c:f>
              <c:strCache>
                <c:ptCount val="1"/>
                <c:pt idx="0">
                  <c:v>Base Rate</c:v>
                </c:pt>
              </c:strCache>
            </c:strRef>
          </c:tx>
          <c:invertIfNegative val="0"/>
          <c:cat>
            <c:strRef>
              <c:f>'Table ES.1'!$B$26:$B$32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ES.1'!$C$26:$C$32</c:f>
              <c:numCache>
                <c:formatCode>"$"#,##0</c:formatCode>
                <c:ptCount val="7"/>
                <c:pt idx="0">
                  <c:v>19962.0</c:v>
                </c:pt>
                <c:pt idx="1">
                  <c:v>6072.0</c:v>
                </c:pt>
                <c:pt idx="2">
                  <c:v>29693.0</c:v>
                </c:pt>
                <c:pt idx="3">
                  <c:v>15935.0</c:v>
                </c:pt>
                <c:pt idx="4">
                  <c:v>5569.0</c:v>
                </c:pt>
                <c:pt idx="5">
                  <c:v>6726.0</c:v>
                </c:pt>
                <c:pt idx="6">
                  <c:v>1988.0</c:v>
                </c:pt>
              </c:numCache>
            </c:numRef>
          </c:val>
        </c:ser>
        <c:ser>
          <c:idx val="1"/>
          <c:order val="1"/>
          <c:tx>
            <c:strRef>
              <c:f>'Table ES.1'!$D$25</c:f>
              <c:strCache>
                <c:ptCount val="1"/>
                <c:pt idx="0">
                  <c:v>PAC Allowance</c:v>
                </c:pt>
              </c:strCache>
            </c:strRef>
          </c:tx>
          <c:invertIfNegative val="0"/>
          <c:cat>
            <c:strRef>
              <c:f>'Table ES.1'!$B$26:$B$32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ES.1'!$D$26:$D$32</c:f>
              <c:numCache>
                <c:formatCode>"$"#,##0</c:formatCode>
                <c:ptCount val="7"/>
                <c:pt idx="0">
                  <c:v>3750.0</c:v>
                </c:pt>
                <c:pt idx="1">
                  <c:v>2310.0</c:v>
                </c:pt>
                <c:pt idx="2">
                  <c:v>12405.0</c:v>
                </c:pt>
                <c:pt idx="3">
                  <c:v>1438.0</c:v>
                </c:pt>
                <c:pt idx="4">
                  <c:v>1462.0</c:v>
                </c:pt>
                <c:pt idx="5">
                  <c:v>1163.0</c:v>
                </c:pt>
                <c:pt idx="6">
                  <c:v>149.0</c:v>
                </c:pt>
              </c:numCache>
            </c:numRef>
          </c:val>
        </c:ser>
        <c:ser>
          <c:idx val="2"/>
          <c:order val="2"/>
          <c:tx>
            <c:strRef>
              <c:f>'Table ES.1'!$E$25</c:f>
              <c:strCache>
                <c:ptCount val="1"/>
                <c:pt idx="0">
                  <c:v>Margin</c:v>
                </c:pt>
              </c:strCache>
            </c:strRef>
          </c:tx>
          <c:invertIfNegative val="0"/>
          <c:cat>
            <c:strRef>
              <c:f>'Table ES.1'!$B$26:$B$32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ES.1'!$E$26:$E$32</c:f>
              <c:numCache>
                <c:formatCode>"$"#,##0</c:formatCode>
                <c:ptCount val="7"/>
                <c:pt idx="0">
                  <c:v>1996.2</c:v>
                </c:pt>
                <c:pt idx="1">
                  <c:v>607.2</c:v>
                </c:pt>
                <c:pt idx="2">
                  <c:v>2969.3</c:v>
                </c:pt>
                <c:pt idx="3">
                  <c:v>1593.5</c:v>
                </c:pt>
                <c:pt idx="4">
                  <c:v>556.9</c:v>
                </c:pt>
                <c:pt idx="5">
                  <c:v>672.6</c:v>
                </c:pt>
                <c:pt idx="6">
                  <c:v>198.8</c:v>
                </c:pt>
              </c:numCache>
            </c:numRef>
          </c:val>
        </c:ser>
        <c:ser>
          <c:idx val="3"/>
          <c:order val="3"/>
          <c:tx>
            <c:strRef>
              <c:f>'Table ES.1'!$F$25</c:f>
              <c:strCache>
                <c:ptCount val="1"/>
                <c:pt idx="0">
                  <c:v>ECR</c:v>
                </c:pt>
              </c:strCache>
            </c:strRef>
          </c:tx>
          <c:spPr>
            <a:noFill/>
          </c:spPr>
          <c:invertIfNegative val="0"/>
          <c:cat>
            <c:strRef>
              <c:f>'Table ES.1'!$B$26:$B$32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ES.1'!$F$26:$F$32</c:f>
              <c:numCache>
                <c:formatCode>"$"#,##0</c:formatCode>
                <c:ptCount val="7"/>
                <c:pt idx="0">
                  <c:v>25708.2</c:v>
                </c:pt>
                <c:pt idx="1">
                  <c:v>8989.2</c:v>
                </c:pt>
                <c:pt idx="2">
                  <c:v>45067.3</c:v>
                </c:pt>
                <c:pt idx="3">
                  <c:v>18966.5</c:v>
                </c:pt>
                <c:pt idx="4">
                  <c:v>7587.9</c:v>
                </c:pt>
                <c:pt idx="5">
                  <c:v>8561.6</c:v>
                </c:pt>
                <c:pt idx="6">
                  <c:v>2335.8</c:v>
                </c:pt>
              </c:numCache>
            </c:numRef>
          </c:val>
        </c:ser>
        <c:dLbls>
          <c:showLegendKey val="0"/>
          <c:showVal val="0"/>
          <c:showCatName val="0"/>
          <c:showSerName val="0"/>
          <c:showPercent val="0"/>
          <c:showBubbleSize val="0"/>
        </c:dLbls>
        <c:gapWidth val="95"/>
        <c:overlap val="100"/>
        <c:axId val="235309384"/>
        <c:axId val="235312504"/>
      </c:barChart>
      <c:catAx>
        <c:axId val="235309384"/>
        <c:scaling>
          <c:orientation val="minMax"/>
        </c:scaling>
        <c:delete val="0"/>
        <c:axPos val="b"/>
        <c:majorTickMark val="none"/>
        <c:minorTickMark val="none"/>
        <c:tickLblPos val="nextTo"/>
        <c:crossAx val="235312504"/>
        <c:crosses val="autoZero"/>
        <c:auto val="1"/>
        <c:lblAlgn val="ctr"/>
        <c:lblOffset val="100"/>
        <c:noMultiLvlLbl val="0"/>
      </c:catAx>
      <c:valAx>
        <c:axId val="235312504"/>
        <c:scaling>
          <c:orientation val="minMax"/>
          <c:max val="50000.0"/>
        </c:scaling>
        <c:delete val="0"/>
        <c:axPos val="l"/>
        <c:majorGridlines/>
        <c:numFmt formatCode="&quot;$&quot;#,##0" sourceLinked="1"/>
        <c:majorTickMark val="none"/>
        <c:minorTickMark val="none"/>
        <c:tickLblPos val="nextTo"/>
        <c:crossAx val="235309384"/>
        <c:crosses val="autoZero"/>
        <c:crossBetween val="between"/>
        <c:majorUnit val="5000.0"/>
      </c:valAx>
      <c:dTable>
        <c:showHorzBorder val="1"/>
        <c:showVertBorder val="1"/>
        <c:showOutline val="1"/>
        <c:showKeys val="1"/>
        <c:txPr>
          <a:bodyPr/>
          <a:lstStyle/>
          <a:p>
            <a:pPr rtl="0">
              <a:defRPr sz="900"/>
            </a:pPr>
            <a:endParaRPr lang="en-US"/>
          </a:p>
        </c:txPr>
      </c:dTable>
      <c:spPr>
        <a:ln w="3175"/>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'Table ES.1'!$H$25</c:f>
              <c:strCache>
                <c:ptCount val="1"/>
                <c:pt idx="0">
                  <c:v>Base Rate</c:v>
                </c:pt>
              </c:strCache>
            </c:strRef>
          </c:tx>
          <c:invertIfNegative val="0"/>
          <c:cat>
            <c:strRef>
              <c:f>'Table ES.1'!$G$26:$G$32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ES.1'!$H$26:$H$32</c:f>
              <c:numCache>
                <c:formatCode>0.00%</c:formatCode>
                <c:ptCount val="7"/>
                <c:pt idx="0">
                  <c:v>0.776483767825051</c:v>
                </c:pt>
                <c:pt idx="1">
                  <c:v>0.675477239353894</c:v>
                </c:pt>
                <c:pt idx="2">
                  <c:v>0.65885908408092</c:v>
                </c:pt>
                <c:pt idx="3">
                  <c:v>0.840165555057601</c:v>
                </c:pt>
                <c:pt idx="4">
                  <c:v>0.733931654344419</c:v>
                </c:pt>
                <c:pt idx="5">
                  <c:v>0.785600822276211</c:v>
                </c:pt>
                <c:pt idx="6">
                  <c:v>0.851100265433686</c:v>
                </c:pt>
              </c:numCache>
            </c:numRef>
          </c:val>
        </c:ser>
        <c:ser>
          <c:idx val="1"/>
          <c:order val="1"/>
          <c:tx>
            <c:strRef>
              <c:f>'Table ES.1'!$I$25</c:f>
              <c:strCache>
                <c:ptCount val="1"/>
                <c:pt idx="0">
                  <c:v>PAC</c:v>
                </c:pt>
              </c:strCache>
            </c:strRef>
          </c:tx>
          <c:invertIfNegative val="0"/>
          <c:cat>
            <c:strRef>
              <c:f>'Table ES.1'!$G$26:$G$32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ES.1'!$I$26:$I$32</c:f>
              <c:numCache>
                <c:formatCode>0.00%</c:formatCode>
                <c:ptCount val="7"/>
                <c:pt idx="0">
                  <c:v>0.145867855392443</c:v>
                </c:pt>
                <c:pt idx="1">
                  <c:v>0.25697503671072</c:v>
                </c:pt>
                <c:pt idx="2">
                  <c:v>0.275255007510989</c:v>
                </c:pt>
                <c:pt idx="3">
                  <c:v>0.0758178894366384</c:v>
                </c:pt>
                <c:pt idx="4">
                  <c:v>0.192675180221142</c:v>
                </c:pt>
                <c:pt idx="5">
                  <c:v>0.135839095496169</c:v>
                </c:pt>
                <c:pt idx="6">
                  <c:v>0.0637897080229472</c:v>
                </c:pt>
              </c:numCache>
            </c:numRef>
          </c:val>
        </c:ser>
        <c:ser>
          <c:idx val="2"/>
          <c:order val="2"/>
          <c:tx>
            <c:strRef>
              <c:f>'Table ES.1'!$J$25</c:f>
              <c:strCache>
                <c:ptCount val="1"/>
                <c:pt idx="0">
                  <c:v>Margin</c:v>
                </c:pt>
              </c:strCache>
            </c:strRef>
          </c:tx>
          <c:invertIfNegative val="0"/>
          <c:cat>
            <c:strRef>
              <c:f>'Table ES.1'!$G$26:$G$32</c:f>
              <c:strCache>
                <c:ptCount val="7"/>
                <c:pt idx="0">
                  <c:v>AMI</c:v>
                </c:pt>
                <c:pt idx="1">
                  <c:v>Pneumonia</c:v>
                </c:pt>
                <c:pt idx="2">
                  <c:v>CABG</c:v>
                </c:pt>
                <c:pt idx="3">
                  <c:v>Bariatric Surgery</c:v>
                </c:pt>
                <c:pt idx="4">
                  <c:v>Gallbladder Surgery</c:v>
                </c:pt>
                <c:pt idx="5">
                  <c:v>Pregnancy and Delivery </c:v>
                </c:pt>
                <c:pt idx="6">
                  <c:v>Colonoscopy </c:v>
                </c:pt>
              </c:strCache>
            </c:strRef>
          </c:cat>
          <c:val>
            <c:numRef>
              <c:f>'Table ES.1'!$J$26:$J$32</c:f>
              <c:numCache>
                <c:formatCode>0.00%</c:formatCode>
                <c:ptCount val="7"/>
                <c:pt idx="0">
                  <c:v>0.0776483767825052</c:v>
                </c:pt>
                <c:pt idx="1">
                  <c:v>0.0675477239353891</c:v>
                </c:pt>
                <c:pt idx="2">
                  <c:v>0.0658859084080919</c:v>
                </c:pt>
                <c:pt idx="3">
                  <c:v>0.0840165555057602</c:v>
                </c:pt>
                <c:pt idx="4">
                  <c:v>0.0733931654344418</c:v>
                </c:pt>
                <c:pt idx="5">
                  <c:v>0.0785600822276211</c:v>
                </c:pt>
                <c:pt idx="6">
                  <c:v>0.0851100265433685</c:v>
                </c:pt>
              </c:numCache>
            </c:numRef>
          </c:val>
        </c:ser>
        <c:dLbls>
          <c:showLegendKey val="0"/>
          <c:showVal val="1"/>
          <c:showCatName val="0"/>
          <c:showSerName val="0"/>
          <c:showPercent val="0"/>
          <c:showBubbleSize val="0"/>
        </c:dLbls>
        <c:gapWidth val="75"/>
        <c:overlap val="100"/>
        <c:axId val="235388488"/>
        <c:axId val="235391544"/>
      </c:barChart>
      <c:catAx>
        <c:axId val="235388488"/>
        <c:scaling>
          <c:orientation val="minMax"/>
        </c:scaling>
        <c:delete val="0"/>
        <c:axPos val="b"/>
        <c:majorTickMark val="none"/>
        <c:minorTickMark val="none"/>
        <c:tickLblPos val="nextTo"/>
        <c:crossAx val="235391544"/>
        <c:crosses val="autoZero"/>
        <c:auto val="1"/>
        <c:lblAlgn val="ctr"/>
        <c:lblOffset val="100"/>
        <c:noMultiLvlLbl val="0"/>
      </c:catAx>
      <c:valAx>
        <c:axId val="235391544"/>
        <c:scaling>
          <c:orientation val="minMax"/>
        </c:scaling>
        <c:delete val="0"/>
        <c:axPos val="l"/>
        <c:numFmt formatCode="0%" sourceLinked="1"/>
        <c:majorTickMark val="none"/>
        <c:minorTickMark val="none"/>
        <c:tickLblPos val="nextTo"/>
        <c:crossAx val="235388488"/>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'Table ES.1'!$B$92</c:f>
              <c:strCache>
                <c:ptCount val="1"/>
                <c:pt idx="0">
                  <c:v>Index Inpatient Stay</c:v>
                </c:pt>
              </c:strCache>
            </c:strRef>
          </c:tx>
          <c:invertIfNegative val="0"/>
          <c:dLbls>
            <c:numFmt formatCode="0.0%" sourceLinked="0"/>
            <c:showLegendKey val="0"/>
            <c:showVal val="1"/>
            <c:showCatName val="0"/>
            <c:showSerName val="0"/>
            <c:showPercent val="0"/>
            <c:showBubbleSize val="0"/>
            <c:showLeaderLines val="0"/>
          </c:dLbls>
          <c:cat>
            <c:strRef>
              <c:f>'Table ES.1'!$C$91:$I$91</c:f>
              <c:strCache>
                <c:ptCount val="7"/>
                <c:pt idx="0">
                  <c:v>AMI</c:v>
                </c:pt>
                <c:pt idx="1">
                  <c:v>Pneumonia</c:v>
                </c:pt>
                <c:pt idx="2">
                  <c:v>CABG</c:v>
                </c:pt>
                <c:pt idx="3">
                  <c:v>Bariatric Surgery</c:v>
                </c:pt>
                <c:pt idx="4">
                  <c:v>Gallbladder Surgery</c:v>
                </c:pt>
                <c:pt idx="5">
                  <c:v>Pregnancy and Delivery</c:v>
                </c:pt>
                <c:pt idx="6">
                  <c:v>Colononscopy</c:v>
                </c:pt>
              </c:strCache>
            </c:strRef>
          </c:cat>
          <c:val>
            <c:numRef>
              <c:f>'Table ES.1'!$C$92:$I$92</c:f>
              <c:numCache>
                <c:formatCode>0.00%</c:formatCode>
                <c:ptCount val="7"/>
                <c:pt idx="0">
                  <c:v>0.287854682641433</c:v>
                </c:pt>
                <c:pt idx="1">
                  <c:v>0.470121543288268</c:v>
                </c:pt>
                <c:pt idx="2">
                  <c:v>0.343365741389667</c:v>
                </c:pt>
                <c:pt idx="3">
                  <c:v>0.246635752051475</c:v>
                </c:pt>
                <c:pt idx="4">
                  <c:v>0.101425551073735</c:v>
                </c:pt>
                <c:pt idx="5">
                  <c:v>0.16843077505557</c:v>
                </c:pt>
                <c:pt idx="6">
                  <c:v>0.0</c:v>
                </c:pt>
              </c:numCache>
            </c:numRef>
          </c:val>
        </c:ser>
        <c:ser>
          <c:idx val="1"/>
          <c:order val="1"/>
          <c:tx>
            <c:strRef>
              <c:f>'Table ES.1'!$B$93</c:f>
              <c:strCache>
                <c:ptCount val="1"/>
                <c:pt idx="0">
                  <c:v>Readmission/Associated Admission</c:v>
                </c:pt>
              </c:strCache>
            </c:strRef>
          </c:tx>
          <c:invertIfNegative val="0"/>
          <c:dLbls>
            <c:numFmt formatCode="0.0%" sourceLinked="0"/>
            <c:showLegendKey val="0"/>
            <c:showVal val="1"/>
            <c:showCatName val="0"/>
            <c:showSerName val="0"/>
            <c:showPercent val="0"/>
            <c:showBubbleSize val="0"/>
            <c:showLeaderLines val="0"/>
          </c:dLbls>
          <c:cat>
            <c:strRef>
              <c:f>'Table ES.1'!$C$91:$I$91</c:f>
              <c:strCache>
                <c:ptCount val="7"/>
                <c:pt idx="0">
                  <c:v>AMI</c:v>
                </c:pt>
                <c:pt idx="1">
                  <c:v>Pneumonia</c:v>
                </c:pt>
                <c:pt idx="2">
                  <c:v>CABG</c:v>
                </c:pt>
                <c:pt idx="3">
                  <c:v>Bariatric Surgery</c:v>
                </c:pt>
                <c:pt idx="4">
                  <c:v>Gallbladder Surgery</c:v>
                </c:pt>
                <c:pt idx="5">
                  <c:v>Pregnancy and Delivery</c:v>
                </c:pt>
                <c:pt idx="6">
                  <c:v>Colononscopy</c:v>
                </c:pt>
              </c:strCache>
            </c:strRef>
          </c:cat>
          <c:val>
            <c:numRef>
              <c:f>'Table ES.1'!$C$93:$I$93</c:f>
              <c:numCache>
                <c:formatCode>0.00%</c:formatCode>
                <c:ptCount val="7"/>
                <c:pt idx="0">
                  <c:v>0.478411306214356</c:v>
                </c:pt>
                <c:pt idx="1">
                  <c:v>0.238242644628602</c:v>
                </c:pt>
                <c:pt idx="2">
                  <c:v>0.379460404772679</c:v>
                </c:pt>
                <c:pt idx="3">
                  <c:v>0.506852409265321</c:v>
                </c:pt>
                <c:pt idx="4">
                  <c:v>0.388651731014042</c:v>
                </c:pt>
                <c:pt idx="5">
                  <c:v>0.0593695803512544</c:v>
                </c:pt>
                <c:pt idx="6">
                  <c:v>0.335256824727725</c:v>
                </c:pt>
              </c:numCache>
            </c:numRef>
          </c:val>
        </c:ser>
        <c:ser>
          <c:idx val="2"/>
          <c:order val="2"/>
          <c:tx>
            <c:strRef>
              <c:f>'Table ES.1'!$B$94</c:f>
              <c:strCache>
                <c:ptCount val="1"/>
                <c:pt idx="0">
                  <c:v>Outpatient Facility/Professional</c:v>
                </c:pt>
              </c:strCache>
            </c:strRef>
          </c:tx>
          <c:invertIfNegative val="0"/>
          <c:dLbls>
            <c:numFmt formatCode="0.0%" sourceLinked="0"/>
            <c:showLegendKey val="0"/>
            <c:showVal val="1"/>
            <c:showCatName val="0"/>
            <c:showSerName val="0"/>
            <c:showPercent val="0"/>
            <c:showBubbleSize val="0"/>
            <c:showLeaderLines val="0"/>
          </c:dLbls>
          <c:cat>
            <c:strRef>
              <c:f>'Table ES.1'!$C$91:$I$91</c:f>
              <c:strCache>
                <c:ptCount val="7"/>
                <c:pt idx="0">
                  <c:v>AMI</c:v>
                </c:pt>
                <c:pt idx="1">
                  <c:v>Pneumonia</c:v>
                </c:pt>
                <c:pt idx="2">
                  <c:v>CABG</c:v>
                </c:pt>
                <c:pt idx="3">
                  <c:v>Bariatric Surgery</c:v>
                </c:pt>
                <c:pt idx="4">
                  <c:v>Gallbladder Surgery</c:v>
                </c:pt>
                <c:pt idx="5">
                  <c:v>Pregnancy and Delivery</c:v>
                </c:pt>
                <c:pt idx="6">
                  <c:v>Colononscopy</c:v>
                </c:pt>
              </c:strCache>
            </c:strRef>
          </c:cat>
          <c:val>
            <c:numRef>
              <c:f>'Table ES.1'!$C$94:$I$94</c:f>
              <c:numCache>
                <c:formatCode>0.00%</c:formatCode>
                <c:ptCount val="7"/>
                <c:pt idx="0">
                  <c:v>0.23192676649877</c:v>
                </c:pt>
                <c:pt idx="1">
                  <c:v>0.00444191902768414</c:v>
                </c:pt>
                <c:pt idx="2">
                  <c:v>0.000390000588269045</c:v>
                </c:pt>
                <c:pt idx="3">
                  <c:v>0.000543802667606993</c:v>
                </c:pt>
                <c:pt idx="4">
                  <c:v>0.507874566613418</c:v>
                </c:pt>
                <c:pt idx="5">
                  <c:v>0.771830497813822</c:v>
                </c:pt>
                <c:pt idx="6">
                  <c:v>0.663787879506998</c:v>
                </c:pt>
              </c:numCache>
            </c:numRef>
          </c:val>
        </c:ser>
        <c:ser>
          <c:idx val="3"/>
          <c:order val="3"/>
          <c:tx>
            <c:strRef>
              <c:f>'Table ES.1'!$B$95</c:f>
              <c:strCache>
                <c:ptCount val="1"/>
                <c:pt idx="0">
                  <c:v>Pharmacy</c:v>
                </c:pt>
              </c:strCache>
            </c:strRef>
          </c:tx>
          <c:invertIfNegative val="0"/>
          <c:dLbls>
            <c:numFmt formatCode="0.0%" sourceLinked="0"/>
            <c:showLegendKey val="0"/>
            <c:showVal val="1"/>
            <c:showCatName val="0"/>
            <c:showSerName val="0"/>
            <c:showPercent val="0"/>
            <c:showBubbleSize val="0"/>
            <c:showLeaderLines val="0"/>
          </c:dLbls>
          <c:cat>
            <c:strRef>
              <c:f>'Table ES.1'!$C$91:$I$91</c:f>
              <c:strCache>
                <c:ptCount val="7"/>
                <c:pt idx="0">
                  <c:v>AMI</c:v>
                </c:pt>
                <c:pt idx="1">
                  <c:v>Pneumonia</c:v>
                </c:pt>
                <c:pt idx="2">
                  <c:v>CABG</c:v>
                </c:pt>
                <c:pt idx="3">
                  <c:v>Bariatric Surgery</c:v>
                </c:pt>
                <c:pt idx="4">
                  <c:v>Gallbladder Surgery</c:v>
                </c:pt>
                <c:pt idx="5">
                  <c:v>Pregnancy and Delivery</c:v>
                </c:pt>
                <c:pt idx="6">
                  <c:v>Colononscopy</c:v>
                </c:pt>
              </c:strCache>
            </c:strRef>
          </c:cat>
          <c:val>
            <c:numRef>
              <c:f>'Table ES.1'!$C$95:$I$95</c:f>
              <c:numCache>
                <c:formatCode>0.00%</c:formatCode>
                <c:ptCount val="7"/>
                <c:pt idx="0">
                  <c:v>0.00180724464544282</c:v>
                </c:pt>
                <c:pt idx="1">
                  <c:v>0.287193893055447</c:v>
                </c:pt>
                <c:pt idx="2">
                  <c:v>0.276783853249388</c:v>
                </c:pt>
                <c:pt idx="3">
                  <c:v>0.245968036015598</c:v>
                </c:pt>
                <c:pt idx="4">
                  <c:v>0.00204815129880777</c:v>
                </c:pt>
                <c:pt idx="5">
                  <c:v>0.00036914677935465</c:v>
                </c:pt>
                <c:pt idx="6">
                  <c:v>0.00095529576527895</c:v>
                </c:pt>
              </c:numCache>
            </c:numRef>
          </c:val>
        </c:ser>
        <c:dLbls>
          <c:showLegendKey val="0"/>
          <c:showVal val="1"/>
          <c:showCatName val="0"/>
          <c:showSerName val="0"/>
          <c:showPercent val="0"/>
          <c:showBubbleSize val="0"/>
        </c:dLbls>
        <c:gapWidth val="75"/>
        <c:overlap val="100"/>
        <c:axId val="235435000"/>
        <c:axId val="235438072"/>
      </c:barChart>
      <c:catAx>
        <c:axId val="235435000"/>
        <c:scaling>
          <c:orientation val="minMax"/>
        </c:scaling>
        <c:delete val="0"/>
        <c:axPos val="b"/>
        <c:majorTickMark val="none"/>
        <c:minorTickMark val="none"/>
        <c:tickLblPos val="nextTo"/>
        <c:crossAx val="235438072"/>
        <c:crosses val="autoZero"/>
        <c:auto val="1"/>
        <c:lblAlgn val="ctr"/>
        <c:lblOffset val="100"/>
        <c:noMultiLvlLbl val="0"/>
      </c:catAx>
      <c:valAx>
        <c:axId val="235438072"/>
        <c:scaling>
          <c:orientation val="minMax"/>
        </c:scaling>
        <c:delete val="0"/>
        <c:axPos val="l"/>
        <c:numFmt formatCode="0%" sourceLinked="1"/>
        <c:majorTickMark val="none"/>
        <c:minorTickMark val="none"/>
        <c:tickLblPos val="nextTo"/>
        <c:crossAx val="235435000"/>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15_data'!$C$31</c:f>
              <c:strCache>
                <c:ptCount val="1"/>
                <c:pt idx="0">
                  <c:v>Massachusetts</c:v>
                </c:pt>
              </c:strCache>
            </c:strRef>
          </c:tx>
          <c:invertIfNegative val="0"/>
          <c:cat>
            <c:strRef>
              <c:f>'Figure 15_data'!$B$32:$B$38</c:f>
              <c:strCache>
                <c:ptCount val="7"/>
                <c:pt idx="0">
                  <c:v>AMI</c:v>
                </c:pt>
                <c:pt idx="1">
                  <c:v>Pneumonia</c:v>
                </c:pt>
                <c:pt idx="2">
                  <c:v>CABG</c:v>
                </c:pt>
                <c:pt idx="3">
                  <c:v>Bariatric Surgery</c:v>
                </c:pt>
                <c:pt idx="4">
                  <c:v>Colonoscopy</c:v>
                </c:pt>
                <c:pt idx="5">
                  <c:v>Gallbladder Surgery</c:v>
                </c:pt>
                <c:pt idx="6">
                  <c:v>Pregnancy and Delivery</c:v>
                </c:pt>
              </c:strCache>
            </c:strRef>
          </c:cat>
          <c:val>
            <c:numRef>
              <c:f>'Figure 15_data'!$C$32:$C$38</c:f>
              <c:numCache>
                <c:formatCode>0%</c:formatCode>
                <c:ptCount val="7"/>
                <c:pt idx="0">
                  <c:v>0.231668444716383</c:v>
                </c:pt>
                <c:pt idx="1">
                  <c:v>0.358543233628704</c:v>
                </c:pt>
                <c:pt idx="2">
                  <c:v>0.307337018814076</c:v>
                </c:pt>
                <c:pt idx="3">
                  <c:v>0.135959731551378</c:v>
                </c:pt>
                <c:pt idx="4">
                  <c:v>0.126665374238715</c:v>
                </c:pt>
                <c:pt idx="5">
                  <c:v>0.248973087848969</c:v>
                </c:pt>
                <c:pt idx="6">
                  <c:v>0.1952841266441</c:v>
                </c:pt>
              </c:numCache>
            </c:numRef>
          </c:val>
        </c:ser>
        <c:dLbls>
          <c:showLegendKey val="0"/>
          <c:showVal val="0"/>
          <c:showCatName val="0"/>
          <c:showSerName val="0"/>
          <c:showPercent val="0"/>
          <c:showBubbleSize val="0"/>
        </c:dLbls>
        <c:gapWidth val="150"/>
        <c:axId val="235474312"/>
        <c:axId val="235479368"/>
      </c:barChart>
      <c:lineChart>
        <c:grouping val="standard"/>
        <c:varyColors val="0"/>
        <c:ser>
          <c:idx val="1"/>
          <c:order val="1"/>
          <c:tx>
            <c:strRef>
              <c:f>'Figure 15_data'!$D$31</c:f>
              <c:strCache>
                <c:ptCount val="1"/>
                <c:pt idx="0">
                  <c:v>US Average</c:v>
                </c:pt>
              </c:strCache>
            </c:strRef>
          </c:tx>
          <c:spPr>
            <a:ln>
              <a:noFill/>
            </a:ln>
          </c:spPr>
          <c:marker>
            <c:spPr>
              <a:solidFill>
                <a:schemeClr val="tx1"/>
              </a:solidFill>
            </c:spPr>
          </c:marker>
          <c:cat>
            <c:strRef>
              <c:f>'Figure 15_data'!$B$32:$B$38</c:f>
              <c:strCache>
                <c:ptCount val="7"/>
                <c:pt idx="0">
                  <c:v>AMI</c:v>
                </c:pt>
                <c:pt idx="1">
                  <c:v>Pneumonia</c:v>
                </c:pt>
                <c:pt idx="2">
                  <c:v>CABG</c:v>
                </c:pt>
                <c:pt idx="3">
                  <c:v>Bariatric Surgery</c:v>
                </c:pt>
                <c:pt idx="4">
                  <c:v>Colonoscopy</c:v>
                </c:pt>
                <c:pt idx="5">
                  <c:v>Gallbladder Surgery</c:v>
                </c:pt>
                <c:pt idx="6">
                  <c:v>Pregnancy and Delivery</c:v>
                </c:pt>
              </c:strCache>
            </c:strRef>
          </c:cat>
          <c:val>
            <c:numRef>
              <c:f>'Figure 15_data'!$D$32:$D$38</c:f>
              <c:numCache>
                <c:formatCode>0%</c:formatCode>
                <c:ptCount val="7"/>
                <c:pt idx="0">
                  <c:v>0.19</c:v>
                </c:pt>
                <c:pt idx="1">
                  <c:v>0.3</c:v>
                </c:pt>
                <c:pt idx="2">
                  <c:v>0.19</c:v>
                </c:pt>
                <c:pt idx="3">
                  <c:v>0.17</c:v>
                </c:pt>
                <c:pt idx="4">
                  <c:v>0.13</c:v>
                </c:pt>
                <c:pt idx="5">
                  <c:v>0.19</c:v>
                </c:pt>
                <c:pt idx="6">
                  <c:v>0.26</c:v>
                </c:pt>
              </c:numCache>
            </c:numRef>
          </c:val>
          <c:smooth val="0"/>
        </c:ser>
        <c:ser>
          <c:idx val="2"/>
          <c:order val="2"/>
          <c:tx>
            <c:strRef>
              <c:f>'Figure 15_data'!$E$31</c:f>
              <c:strCache>
                <c:ptCount val="1"/>
                <c:pt idx="0">
                  <c:v>Max Across All States</c:v>
                </c:pt>
              </c:strCache>
            </c:strRef>
          </c:tx>
          <c:spPr>
            <a:ln>
              <a:noFill/>
            </a:ln>
          </c:spPr>
          <c:marker>
            <c:symbol val="diamond"/>
            <c:size val="9"/>
            <c:spPr>
              <a:solidFill>
                <a:srgbClr val="92D050"/>
              </a:solidFill>
            </c:spPr>
          </c:marker>
          <c:cat>
            <c:strRef>
              <c:f>'Figure 15_data'!$B$32:$B$38</c:f>
              <c:strCache>
                <c:ptCount val="7"/>
                <c:pt idx="0">
                  <c:v>AMI</c:v>
                </c:pt>
                <c:pt idx="1">
                  <c:v>Pneumonia</c:v>
                </c:pt>
                <c:pt idx="2">
                  <c:v>CABG</c:v>
                </c:pt>
                <c:pt idx="3">
                  <c:v>Bariatric Surgery</c:v>
                </c:pt>
                <c:pt idx="4">
                  <c:v>Colonoscopy</c:v>
                </c:pt>
                <c:pt idx="5">
                  <c:v>Gallbladder Surgery</c:v>
                </c:pt>
                <c:pt idx="6">
                  <c:v>Pregnancy and Delivery</c:v>
                </c:pt>
              </c:strCache>
            </c:strRef>
          </c:cat>
          <c:val>
            <c:numRef>
              <c:f>'Figure 15_data'!$E$32:$E$38</c:f>
              <c:numCache>
                <c:formatCode>0%</c:formatCode>
                <c:ptCount val="7"/>
                <c:pt idx="0">
                  <c:v>0.310000000000001</c:v>
                </c:pt>
                <c:pt idx="1">
                  <c:v>0.47</c:v>
                </c:pt>
                <c:pt idx="2">
                  <c:v>0.3</c:v>
                </c:pt>
                <c:pt idx="3">
                  <c:v>0.37</c:v>
                </c:pt>
                <c:pt idx="4">
                  <c:v>0.21</c:v>
                </c:pt>
                <c:pt idx="5">
                  <c:v>0.380000000000001</c:v>
                </c:pt>
                <c:pt idx="6">
                  <c:v>0.36</c:v>
                </c:pt>
              </c:numCache>
            </c:numRef>
          </c:val>
          <c:smooth val="0"/>
        </c:ser>
        <c:ser>
          <c:idx val="3"/>
          <c:order val="3"/>
          <c:tx>
            <c:strRef>
              <c:f>'Figure 15_data'!$F$31</c:f>
              <c:strCache>
                <c:ptCount val="1"/>
                <c:pt idx="0">
                  <c:v>Min Across All States</c:v>
                </c:pt>
              </c:strCache>
            </c:strRef>
          </c:tx>
          <c:spPr>
            <a:ln>
              <a:noFill/>
            </a:ln>
            <a:effectLst>
              <a:innerShdw>
                <a:prstClr val="black"/>
              </a:innerShdw>
            </a:effectLst>
          </c:spPr>
          <c:marker>
            <c:symbol val="circle"/>
            <c:size val="7"/>
            <c:spPr>
              <a:solidFill>
                <a:srgbClr val="FFFF00"/>
              </a:solidFill>
              <a:effectLst>
                <a:innerShdw>
                  <a:prstClr val="black"/>
                </a:innerShdw>
              </a:effectLst>
            </c:spPr>
          </c:marker>
          <c:cat>
            <c:strRef>
              <c:f>'Figure 15_data'!$B$32:$B$38</c:f>
              <c:strCache>
                <c:ptCount val="7"/>
                <c:pt idx="0">
                  <c:v>AMI</c:v>
                </c:pt>
                <c:pt idx="1">
                  <c:v>Pneumonia</c:v>
                </c:pt>
                <c:pt idx="2">
                  <c:v>CABG</c:v>
                </c:pt>
                <c:pt idx="3">
                  <c:v>Bariatric Surgery</c:v>
                </c:pt>
                <c:pt idx="4">
                  <c:v>Colonoscopy</c:v>
                </c:pt>
                <c:pt idx="5">
                  <c:v>Gallbladder Surgery</c:v>
                </c:pt>
                <c:pt idx="6">
                  <c:v>Pregnancy and Delivery</c:v>
                </c:pt>
              </c:strCache>
            </c:strRef>
          </c:cat>
          <c:val>
            <c:numRef>
              <c:f>'Figure 15_data'!$F$32:$F$38</c:f>
              <c:numCache>
                <c:formatCode>0%</c:formatCode>
                <c:ptCount val="7"/>
                <c:pt idx="0">
                  <c:v>0.1</c:v>
                </c:pt>
                <c:pt idx="1">
                  <c:v>0.13</c:v>
                </c:pt>
                <c:pt idx="2">
                  <c:v>0.11</c:v>
                </c:pt>
                <c:pt idx="3">
                  <c:v>0.05</c:v>
                </c:pt>
                <c:pt idx="4">
                  <c:v>0.08</c:v>
                </c:pt>
                <c:pt idx="5">
                  <c:v>0.11</c:v>
                </c:pt>
                <c:pt idx="6">
                  <c:v>0.15</c:v>
                </c:pt>
              </c:numCache>
            </c:numRef>
          </c:val>
          <c:smooth val="0"/>
        </c:ser>
        <c:dLbls>
          <c:showLegendKey val="0"/>
          <c:showVal val="0"/>
          <c:showCatName val="0"/>
          <c:showSerName val="0"/>
          <c:showPercent val="0"/>
          <c:showBubbleSize val="0"/>
        </c:dLbls>
        <c:marker val="1"/>
        <c:smooth val="0"/>
        <c:axId val="235474312"/>
        <c:axId val="235479368"/>
      </c:lineChart>
      <c:catAx>
        <c:axId val="235474312"/>
        <c:scaling>
          <c:orientation val="minMax"/>
        </c:scaling>
        <c:delete val="0"/>
        <c:axPos val="b"/>
        <c:numFmt formatCode="General" sourceLinked="1"/>
        <c:majorTickMark val="none"/>
        <c:minorTickMark val="none"/>
        <c:tickLblPos val="nextTo"/>
        <c:crossAx val="235479368"/>
        <c:crosses val="autoZero"/>
        <c:auto val="1"/>
        <c:lblAlgn val="ctr"/>
        <c:lblOffset val="100"/>
        <c:noMultiLvlLbl val="0"/>
      </c:catAx>
      <c:valAx>
        <c:axId val="235479368"/>
        <c:scaling>
          <c:orientation val="minMax"/>
          <c:max val="1.0"/>
        </c:scaling>
        <c:delete val="0"/>
        <c:axPos val="l"/>
        <c:majorGridlines/>
        <c:numFmt formatCode="0%" sourceLinked="0"/>
        <c:majorTickMark val="none"/>
        <c:minorTickMark val="none"/>
        <c:tickLblPos val="nextTo"/>
        <c:txPr>
          <a:bodyPr/>
          <a:lstStyle/>
          <a:p>
            <a:pPr>
              <a:defRPr sz="1000"/>
            </a:pPr>
            <a:endParaRPr lang="en-US"/>
          </a:p>
        </c:txPr>
        <c:crossAx val="235474312"/>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spPr>
    <a:ln>
      <a:noFill/>
    </a:ln>
  </c:spPr>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30A8-963B-BF4A-87DB-4A94044B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4800</Words>
  <Characters>26833</Characters>
  <Application>Microsoft Macintosh Word</Application>
  <DocSecurity>0</DocSecurity>
  <Lines>583</Lines>
  <Paragraphs>265</Paragraphs>
  <ScaleCrop>false</ScaleCrop>
  <HeadingPairs>
    <vt:vector size="2" baseType="variant">
      <vt:variant>
        <vt:lpstr>Title</vt:lpstr>
      </vt:variant>
      <vt:variant>
        <vt:i4>1</vt:i4>
      </vt:variant>
    </vt:vector>
  </HeadingPairs>
  <TitlesOfParts>
    <vt:vector size="1" baseType="lpstr">
      <vt:lpstr>Report on Bundled Payments, Volume 2 (August 2013)</vt:lpstr>
    </vt:vector>
  </TitlesOfParts>
  <Manager/>
  <Company>Center for Health Information and Analysis (CHIA)</Company>
  <LinksUpToDate>false</LinksUpToDate>
  <CharactersWithSpaces>31368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2013-08-22T13:48:00Z</dcterms:created>
  <dc:creator>Center for Health Information and Analysis (CHIA)</dc:creator>
  <lastModifiedBy>Division of Health Care Finance and Policy</lastModifiedBy>
  <lastPrinted>2013-08-20T20:20:00Z</lastPrinted>
  <dcterms:modified xsi:type="dcterms:W3CDTF">2013-08-23T20:42:00Z</dcterms:modified>
  <revision>4</revision>
  <dc:subject>Bundled Payments</dc:subject>
  <dc:title>Report on Bundled Payments, Volume 2 (August 2013)</dc:title>
</coreProperties>
</file>