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A0" w:rsidRDefault="008F40A0" w:rsidP="008F40A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8F40A0">
        <w:rPr>
          <w:b/>
          <w:sz w:val="28"/>
          <w:szCs w:val="28"/>
        </w:rPr>
        <w:t>Update on Total Medical Expense Report</w:t>
      </w:r>
      <w:r w:rsidR="00343FF2">
        <w:rPr>
          <w:b/>
          <w:sz w:val="28"/>
          <w:szCs w:val="28"/>
        </w:rPr>
        <w:t>ing</w:t>
      </w:r>
      <w:r w:rsidRPr="008F40A0">
        <w:rPr>
          <w:b/>
          <w:sz w:val="28"/>
          <w:szCs w:val="28"/>
        </w:rPr>
        <w:t xml:space="preserve"> in All-Payer Claims Data</w:t>
      </w:r>
    </w:p>
    <w:p w:rsidR="008F40A0" w:rsidRDefault="008F40A0" w:rsidP="008F40A0">
      <w:pPr>
        <w:pStyle w:val="NoSpacing"/>
        <w:jc w:val="center"/>
        <w:rPr>
          <w:b/>
          <w:sz w:val="28"/>
          <w:szCs w:val="28"/>
        </w:rPr>
      </w:pPr>
    </w:p>
    <w:p w:rsidR="008F40A0" w:rsidRPr="008F40A0" w:rsidRDefault="008F40A0" w:rsidP="008F40A0">
      <w:pPr>
        <w:pStyle w:val="NoSpacing"/>
        <w:jc w:val="center"/>
        <w:rPr>
          <w:b/>
          <w:sz w:val="28"/>
          <w:szCs w:val="28"/>
        </w:rPr>
      </w:pPr>
    </w:p>
    <w:p w:rsidR="00E355C4" w:rsidRDefault="00E355C4" w:rsidP="00E355C4">
      <w:pPr>
        <w:pStyle w:val="NoSpacing"/>
      </w:pPr>
      <w:r>
        <w:t xml:space="preserve">In response to the Administrative Bulletin issued in November 2012, </w:t>
      </w:r>
      <w:r w:rsidR="00DB695F">
        <w:t xml:space="preserve">the Massachusetts Association of Health Plans and </w:t>
      </w:r>
      <w:r>
        <w:t>payers raised serious concerns about the technical challenges of the new reporting requirements. To address these challenges, the Center</w:t>
      </w:r>
      <w:r w:rsidRPr="00E50D4E">
        <w:t xml:space="preserve"> examined issues surroundin</w:t>
      </w:r>
      <w:r>
        <w:t>g non-claims based payments and weighed several options to resolve data filing issues; accommodate the requirements of</w:t>
      </w:r>
      <w:r w:rsidR="004D0CB0">
        <w:t xml:space="preserve"> Chapter 224; and move towards administrative s</w:t>
      </w:r>
      <w:r>
        <w:t>implification. To meet these needs the Center has determined that payers would report TME data in aggregate within the auspices of the APCD</w:t>
      </w:r>
      <w:r w:rsidR="00A628D6">
        <w:t>.  This aggregate file would be submitted by carriers involved in the Total Medical Expenses project only.</w:t>
      </w:r>
    </w:p>
    <w:p w:rsidR="00A628D6" w:rsidRDefault="00A628D6" w:rsidP="00E355C4">
      <w:pPr>
        <w:pStyle w:val="NoSpacing"/>
      </w:pPr>
    </w:p>
    <w:p w:rsidR="00A628D6" w:rsidRDefault="00A628D6" w:rsidP="00E355C4">
      <w:pPr>
        <w:pStyle w:val="NoSpacing"/>
      </w:pPr>
      <w:r>
        <w:t>As data will be submitted in aggregate a number of the TME fields on the monthly APCD submissions will not be required.  A few will be repurposed to provide continuity between the monthly files and the aggregate file for TME.  See attached for an outline of the data field changes.  For non-TME submitters all field will be ‘Filler’ fields, with no input required, though the fields must be within the file to maintain appropriate formatting.</w:t>
      </w:r>
    </w:p>
    <w:p w:rsidR="00E355C4" w:rsidRPr="00E50D4E" w:rsidRDefault="00E355C4" w:rsidP="00E355C4">
      <w:pPr>
        <w:pStyle w:val="NoSpacing"/>
        <w:ind w:left="720"/>
      </w:pPr>
    </w:p>
    <w:p w:rsidR="00E355C4" w:rsidRDefault="00E355C4" w:rsidP="00E355C4">
      <w:pPr>
        <w:pStyle w:val="NoSpacing"/>
      </w:pPr>
      <w:r>
        <w:t>These changes will promote data integrity and allow us to measure the completion of the claims submitted to APCD and allow the Center to w</w:t>
      </w:r>
      <w:r w:rsidRPr="00E50D4E">
        <w:t>ork with payers to un</w:t>
      </w:r>
      <w:r>
        <w:t>derstand their allocation logic</w:t>
      </w:r>
      <w:r w:rsidRPr="00E50D4E">
        <w:t xml:space="preserve"> and </w:t>
      </w:r>
      <w:r>
        <w:t xml:space="preserve">move toward </w:t>
      </w:r>
      <w:r w:rsidRPr="00E50D4E">
        <w:t>a uniform allocation method across payers.</w:t>
      </w:r>
    </w:p>
    <w:p w:rsidR="00E355C4" w:rsidRPr="00E50D4E" w:rsidRDefault="00E355C4" w:rsidP="00E355C4">
      <w:pPr>
        <w:pStyle w:val="NoSpacing"/>
        <w:ind w:left="720"/>
      </w:pPr>
    </w:p>
    <w:p w:rsidR="00E355C4" w:rsidRPr="003B5DD7" w:rsidRDefault="00E355C4" w:rsidP="00E355C4">
      <w:pPr>
        <w:pStyle w:val="NoSpacing"/>
        <w:rPr>
          <w:b/>
        </w:rPr>
      </w:pPr>
      <w:r w:rsidRPr="003B5DD7">
        <w:rPr>
          <w:b/>
        </w:rPr>
        <w:t>Next Steps</w:t>
      </w:r>
    </w:p>
    <w:p w:rsidR="00E355C4" w:rsidRDefault="00E355C4" w:rsidP="00E355C4">
      <w:pPr>
        <w:pStyle w:val="NoSpacing"/>
      </w:pPr>
    </w:p>
    <w:p w:rsidR="00E355C4" w:rsidRDefault="00E355C4" w:rsidP="00E355C4">
      <w:pPr>
        <w:pStyle w:val="NoSpacing"/>
      </w:pPr>
      <w:r>
        <w:t>The Center’s Health Information Team will issue an updated Administrative Bulletin for the All-Payer Claims Database so payers will be aware of the changes to the monthly data submissions.  CHIA will continue to work with stakeholders to resolve data submission issues.</w:t>
      </w:r>
    </w:p>
    <w:p w:rsidR="00E355C4" w:rsidRDefault="00E355C4" w:rsidP="00E355C4">
      <w:pPr>
        <w:pStyle w:val="NoSpacing"/>
      </w:pPr>
    </w:p>
    <w:p w:rsidR="00E355C4" w:rsidRPr="003B5DD7" w:rsidRDefault="00E355C4" w:rsidP="00E355C4">
      <w:pPr>
        <w:pStyle w:val="NoSpacing"/>
      </w:pPr>
      <w:r>
        <w:t xml:space="preserve">The Center’s TME Team will issue </w:t>
      </w:r>
      <w:r w:rsidR="004D0CB0">
        <w:t xml:space="preserve">guidance on reporting specifications </w:t>
      </w:r>
      <w:r>
        <w:t>providing details on the quarterly aggregate data filing.</w:t>
      </w:r>
    </w:p>
    <w:p w:rsidR="00E355C4" w:rsidRDefault="00E355C4">
      <w:r>
        <w:br w:type="page"/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068"/>
        <w:gridCol w:w="4080"/>
        <w:gridCol w:w="4140"/>
      </w:tblGrid>
      <w:tr w:rsidR="00140F7A" w:rsidRPr="00140F7A" w:rsidTr="003D18E4">
        <w:trPr>
          <w:trHeight w:val="315"/>
        </w:trPr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lastRenderedPageBreak/>
              <w:t>Element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Element Name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906FA5" w:rsidP="00140F7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</w:t>
            </w:r>
            <w:r w:rsidR="00140F7A" w:rsidRPr="00140F7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epurposed To:</w:t>
            </w:r>
          </w:p>
        </w:tc>
      </w:tr>
      <w:tr w:rsidR="00140F7A" w:rsidRPr="00140F7A" w:rsidTr="003D18E4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PV032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Payment Arrangement Type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Registered Provider Organization ID – Registered Provider Organization Number assigned by the Health Policy Commission</w:t>
            </w:r>
          </w:p>
        </w:tc>
      </w:tr>
      <w:tr w:rsidR="00140F7A" w:rsidRPr="00140F7A" w:rsidTr="003D18E4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7A" w:rsidRPr="00140F7A" w:rsidRDefault="00140F7A" w:rsidP="003D18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PV065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TME – Non-Claims Payments: Incentive Programs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Filler – No Input </w:t>
            </w:r>
          </w:p>
        </w:tc>
      </w:tr>
      <w:tr w:rsidR="00140F7A" w:rsidRPr="00140F7A" w:rsidTr="003D18E4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7A" w:rsidRPr="00140F7A" w:rsidRDefault="00140F7A" w:rsidP="003D18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PV066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TME – Non-Claims Payments: Risk Settlements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Filler – No Input </w:t>
            </w:r>
          </w:p>
        </w:tc>
      </w:tr>
      <w:tr w:rsidR="00140F7A" w:rsidRPr="00140F7A" w:rsidTr="003D18E4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7A" w:rsidRPr="00140F7A" w:rsidRDefault="00140F7A" w:rsidP="003D18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PV067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TME – Non-Claims Payments: Care Management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Filler – No Input </w:t>
            </w:r>
          </w:p>
        </w:tc>
      </w:tr>
      <w:tr w:rsidR="00140F7A" w:rsidRPr="00140F7A" w:rsidTr="003D18E4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7A" w:rsidRPr="00140F7A" w:rsidRDefault="00140F7A" w:rsidP="003D18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PV068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TME – Non-Claims Payments: Other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Filler – No Input </w:t>
            </w:r>
          </w:p>
        </w:tc>
      </w:tr>
      <w:tr w:rsidR="00140F7A" w:rsidRPr="00140F7A" w:rsidTr="003D18E4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7A" w:rsidRPr="00140F7A" w:rsidRDefault="00140F7A" w:rsidP="003D18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PV069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TME – Non-Claims Payments: Total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Filler – No Input</w:t>
            </w:r>
          </w:p>
        </w:tc>
      </w:tr>
      <w:tr w:rsidR="00140F7A" w:rsidRPr="00140F7A" w:rsidTr="003D18E4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7A" w:rsidRPr="00140F7A" w:rsidRDefault="00140F7A" w:rsidP="003D18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PV070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TME – Non-Claims Payments: Date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Filler – No Input</w:t>
            </w:r>
          </w:p>
        </w:tc>
      </w:tr>
      <w:tr w:rsidR="00140F7A" w:rsidRPr="00140F7A" w:rsidTr="003D18E4">
        <w:trPr>
          <w:trHeight w:val="61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ME124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TME – Health Status Adjustment Tool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Attributed PCP Provider ID</w:t>
            </w:r>
          </w:p>
        </w:tc>
      </w:tr>
      <w:tr w:rsidR="00140F7A" w:rsidRPr="00140F7A" w:rsidTr="003D18E4">
        <w:trPr>
          <w:trHeight w:val="61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ME125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TME – Health Status Adjustment Tool Version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52586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TME </w:t>
            </w:r>
            <w:proofErr w:type="spellStart"/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OrgID</w:t>
            </w:r>
            <w:proofErr w:type="spellEnd"/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Physician Group of the Member’s PCP</w:t>
            </w:r>
          </w:p>
        </w:tc>
      </w:tr>
      <w:tr w:rsidR="00140F7A" w:rsidRPr="00140F7A" w:rsidTr="003D18E4">
        <w:trPr>
          <w:trHeight w:val="52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ME126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TME – Health Status Adjustment Tool Date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Filler – No Input</w:t>
            </w:r>
          </w:p>
        </w:tc>
      </w:tr>
      <w:tr w:rsidR="00140F7A" w:rsidRPr="00140F7A" w:rsidTr="003D18E4">
        <w:trPr>
          <w:trHeight w:val="61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ME127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TME – Member’s Health Status Adjustment Score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Filler – No Input</w:t>
            </w:r>
          </w:p>
        </w:tc>
      </w:tr>
      <w:tr w:rsidR="00140F7A" w:rsidRPr="00140F7A" w:rsidTr="003D18E4">
        <w:trPr>
          <w:trHeight w:val="91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ME128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TME – Member’s Health Status Adjustment Score -  Normalized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Filler – No Input</w:t>
            </w:r>
          </w:p>
        </w:tc>
      </w:tr>
      <w:tr w:rsidR="00140F7A" w:rsidRPr="00140F7A" w:rsidTr="003D18E4">
        <w:trPr>
          <w:trHeight w:val="91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ME129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TME – Member’s Health Status Adjustment Score Start Date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Filler – No Input</w:t>
            </w:r>
          </w:p>
        </w:tc>
      </w:tr>
      <w:tr w:rsidR="00140F7A" w:rsidRPr="00140F7A" w:rsidTr="003D18E4">
        <w:trPr>
          <w:trHeight w:val="915"/>
        </w:trPr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ME130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TME – Member’s Health Status Adjustment Score End Date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7A" w:rsidRPr="00140F7A" w:rsidRDefault="00140F7A" w:rsidP="003D18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0F7A">
              <w:rPr>
                <w:rFonts w:asciiTheme="minorHAnsi" w:hAnsiTheme="minorHAnsi"/>
                <w:color w:val="000000"/>
                <w:sz w:val="18"/>
                <w:szCs w:val="18"/>
              </w:rPr>
              <w:t>Filler – No Input</w:t>
            </w:r>
          </w:p>
        </w:tc>
      </w:tr>
    </w:tbl>
    <w:p w:rsidR="00C201D9" w:rsidRDefault="00C201D9"/>
    <w:p w:rsidR="00140F7A" w:rsidRPr="00140F7A" w:rsidRDefault="00140F7A" w:rsidP="00140F7A">
      <w:pPr>
        <w:rPr>
          <w:rFonts w:asciiTheme="minorHAnsi" w:hAnsiTheme="minorHAnsi"/>
          <w:sz w:val="18"/>
          <w:szCs w:val="18"/>
        </w:rPr>
      </w:pPr>
    </w:p>
    <w:sectPr w:rsidR="00140F7A" w:rsidRPr="00140F7A" w:rsidSect="00983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D0" w:rsidRDefault="00F434D0" w:rsidP="00E355C4">
      <w:pPr>
        <w:spacing w:after="0" w:line="240" w:lineRule="auto"/>
      </w:pPr>
      <w:r>
        <w:separator/>
      </w:r>
    </w:p>
  </w:endnote>
  <w:endnote w:type="continuationSeparator" w:id="0">
    <w:p w:rsidR="00F434D0" w:rsidRDefault="00F434D0" w:rsidP="00E3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4" w:rsidRDefault="00E355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5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FC5" w:rsidRDefault="0007017D">
        <w:pPr>
          <w:pStyle w:val="Footer"/>
          <w:jc w:val="center"/>
        </w:pPr>
        <w:r>
          <w:fldChar w:fldCharType="begin"/>
        </w:r>
        <w:r w:rsidR="00DB695F">
          <w:instrText xml:space="preserve"> PAGE   \* MERGEFORMAT </w:instrText>
        </w:r>
        <w:r>
          <w:fldChar w:fldCharType="separate"/>
        </w:r>
        <w:r w:rsidR="00471E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FC5" w:rsidRDefault="00F434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4" w:rsidRDefault="00E35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D0" w:rsidRDefault="00F434D0" w:rsidP="00E355C4">
      <w:pPr>
        <w:spacing w:after="0" w:line="240" w:lineRule="auto"/>
      </w:pPr>
      <w:r>
        <w:separator/>
      </w:r>
    </w:p>
  </w:footnote>
  <w:footnote w:type="continuationSeparator" w:id="0">
    <w:p w:rsidR="00F434D0" w:rsidRDefault="00F434D0" w:rsidP="00E3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4" w:rsidRDefault="00E355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C5" w:rsidRDefault="00F434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4" w:rsidRDefault="00E35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72750"/>
    <w:multiLevelType w:val="hybridMultilevel"/>
    <w:tmpl w:val="A368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E355C4"/>
    <w:rsid w:val="0007017D"/>
    <w:rsid w:val="00140F7A"/>
    <w:rsid w:val="002853B0"/>
    <w:rsid w:val="00343FF2"/>
    <w:rsid w:val="00471EAF"/>
    <w:rsid w:val="004C4C64"/>
    <w:rsid w:val="004D0CB0"/>
    <w:rsid w:val="0052586A"/>
    <w:rsid w:val="00635944"/>
    <w:rsid w:val="006B7CD4"/>
    <w:rsid w:val="006D2BBC"/>
    <w:rsid w:val="007F6BEF"/>
    <w:rsid w:val="00847CCF"/>
    <w:rsid w:val="008B12B2"/>
    <w:rsid w:val="008F40A0"/>
    <w:rsid w:val="00906FA5"/>
    <w:rsid w:val="00A628D6"/>
    <w:rsid w:val="00C201D9"/>
    <w:rsid w:val="00CF43ED"/>
    <w:rsid w:val="00DB695F"/>
    <w:rsid w:val="00E355C4"/>
    <w:rsid w:val="00E91D31"/>
    <w:rsid w:val="00F4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5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C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5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C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for Health Information and Analysis | Commonwealth of Massachusetts</dc:creator>
  <cp:keywords>Update on Total Medical Expense Reporting in All-Payer Claims Data</cp:keywords>
  <cp:lastModifiedBy>Andrew Jackmauh</cp:lastModifiedBy>
  <cp:revision>2</cp:revision>
  <dcterms:created xsi:type="dcterms:W3CDTF">2013-02-07T14:58:00Z</dcterms:created>
  <dcterms:modified xsi:type="dcterms:W3CDTF">2013-02-07T14:58:00Z</dcterms:modified>
</cp:coreProperties>
</file>