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7E9" w:rsidRPr="00D97C15" w:rsidRDefault="00A447E9" w:rsidP="00A447E9">
      <w:pPr>
        <w:tabs>
          <w:tab w:val="left" w:pos="90"/>
          <w:tab w:val="center" w:pos="4680"/>
        </w:tabs>
        <w:jc w:val="center"/>
        <w:rPr>
          <w:rFonts w:ascii="Times New Roman" w:hAnsi="Times New Roman"/>
          <w:b/>
          <w:sz w:val="24"/>
          <w:szCs w:val="24"/>
        </w:rPr>
      </w:pPr>
      <w:r w:rsidRPr="00D97C15">
        <w:rPr>
          <w:rFonts w:ascii="Times New Roman" w:hAnsi="Times New Roman"/>
          <w:b/>
          <w:sz w:val="24"/>
          <w:szCs w:val="24"/>
        </w:rPr>
        <w:t xml:space="preserve">ADMINISTRATIVE BULLETIN </w:t>
      </w:r>
      <w:r w:rsidRPr="00B251CF">
        <w:rPr>
          <w:rFonts w:ascii="Times New Roman" w:hAnsi="Times New Roman"/>
          <w:b/>
          <w:sz w:val="24"/>
          <w:szCs w:val="24"/>
        </w:rPr>
        <w:t>14-</w:t>
      </w:r>
      <w:r w:rsidR="00B251CF">
        <w:rPr>
          <w:rFonts w:ascii="Times New Roman" w:hAnsi="Times New Roman"/>
          <w:b/>
          <w:sz w:val="24"/>
          <w:szCs w:val="24"/>
        </w:rPr>
        <w:t>07</w:t>
      </w:r>
    </w:p>
    <w:p w:rsidR="00A447E9" w:rsidRPr="00D97C15" w:rsidRDefault="00A447E9" w:rsidP="00A447E9">
      <w:pPr>
        <w:jc w:val="center"/>
        <w:rPr>
          <w:rFonts w:ascii="Times New Roman" w:hAnsi="Times New Roman"/>
          <w:b/>
          <w:sz w:val="24"/>
          <w:szCs w:val="24"/>
        </w:rPr>
      </w:pPr>
      <w:r w:rsidRPr="00D97C15">
        <w:rPr>
          <w:rFonts w:ascii="Times New Roman" w:hAnsi="Times New Roman"/>
          <w:b/>
          <w:sz w:val="24"/>
          <w:szCs w:val="24"/>
        </w:rPr>
        <w:t>957 CMR 4.00: Uniform Provider Reporting of the Standard Quality Measure Set</w:t>
      </w:r>
    </w:p>
    <w:p w:rsidR="00A447E9" w:rsidRPr="00253870" w:rsidRDefault="00A447E9" w:rsidP="00A447E9">
      <w:pPr>
        <w:jc w:val="center"/>
        <w:rPr>
          <w:rFonts w:ascii="Times New Roman" w:hAnsi="Times New Roman"/>
          <w:b/>
          <w:sz w:val="24"/>
          <w:szCs w:val="24"/>
        </w:rPr>
      </w:pPr>
      <w:r w:rsidRPr="00253870">
        <w:rPr>
          <w:rFonts w:ascii="Times New Roman" w:hAnsi="Times New Roman"/>
          <w:b/>
          <w:sz w:val="24"/>
          <w:szCs w:val="24"/>
        </w:rPr>
        <w:t xml:space="preserve">Effective </w:t>
      </w:r>
      <w:r>
        <w:rPr>
          <w:rFonts w:ascii="Times New Roman" w:hAnsi="Times New Roman"/>
          <w:b/>
          <w:sz w:val="24"/>
          <w:szCs w:val="24"/>
        </w:rPr>
        <w:t>May 15, 2014</w:t>
      </w:r>
    </w:p>
    <w:p w:rsidR="00A447E9" w:rsidRDefault="00A447E9" w:rsidP="00A447E9">
      <w:pPr>
        <w:rPr>
          <w:rFonts w:ascii="Times New Roman" w:hAnsi="Times New Roman"/>
        </w:rPr>
      </w:pPr>
      <w:r w:rsidRPr="00712566">
        <w:rPr>
          <w:rFonts w:ascii="Times New Roman" w:hAnsi="Times New Roman"/>
        </w:rPr>
        <w:t>The Center for Health Information and Analysis (Center) is issuing this Administrative Bulletin</w:t>
      </w:r>
      <w:r>
        <w:rPr>
          <w:rFonts w:ascii="Times New Roman" w:hAnsi="Times New Roman"/>
        </w:rPr>
        <w:t xml:space="preserve"> in accordance with 957 CMR 4.05(1)</w:t>
      </w:r>
      <w:r w:rsidRPr="00712566">
        <w:rPr>
          <w:rFonts w:ascii="Times New Roman" w:hAnsi="Times New Roman"/>
        </w:rPr>
        <w:t xml:space="preserve"> to </w:t>
      </w:r>
      <w:r>
        <w:rPr>
          <w:rFonts w:ascii="Times New Roman" w:hAnsi="Times New Roman"/>
        </w:rPr>
        <w:t>notify Providers, as defined in 957 CMR 4.02,</w:t>
      </w:r>
      <w:r w:rsidRPr="00712566">
        <w:rPr>
          <w:rFonts w:ascii="Times New Roman" w:hAnsi="Times New Roman"/>
        </w:rPr>
        <w:t xml:space="preserve"> </w:t>
      </w:r>
      <w:r>
        <w:rPr>
          <w:rFonts w:ascii="Times New Roman" w:hAnsi="Times New Roman"/>
        </w:rPr>
        <w:t xml:space="preserve">of the quality measures in the Standard Quality Measure Set (SQMS). </w:t>
      </w:r>
    </w:p>
    <w:p w:rsidR="001128D6" w:rsidRPr="001377F1" w:rsidRDefault="001128D6" w:rsidP="001128D6">
      <w:pPr>
        <w:rPr>
          <w:rFonts w:ascii="Times New Roman" w:hAnsi="Times New Roman"/>
        </w:rPr>
      </w:pPr>
      <w:r>
        <w:rPr>
          <w:rFonts w:ascii="Times New Roman" w:hAnsi="Times New Roman"/>
        </w:rPr>
        <w:t xml:space="preserve">The quality measures </w:t>
      </w:r>
      <w:r w:rsidR="003F116E">
        <w:rPr>
          <w:rFonts w:ascii="Times New Roman" w:hAnsi="Times New Roman"/>
        </w:rPr>
        <w:t>listed</w:t>
      </w:r>
      <w:r>
        <w:rPr>
          <w:rFonts w:ascii="Times New Roman" w:hAnsi="Times New Roman"/>
        </w:rPr>
        <w:t xml:space="preserve"> below were recommended to the Center by the Statewide Quality Advisory Committee (SQAC) on October 21, 2013. </w:t>
      </w:r>
      <w:r w:rsidR="00161749">
        <w:rPr>
          <w:rFonts w:ascii="Times New Roman" w:hAnsi="Times New Roman"/>
        </w:rPr>
        <w:t>Pursuant to</w:t>
      </w:r>
      <w:r w:rsidRPr="00A447E9">
        <w:rPr>
          <w:rFonts w:ascii="Times New Roman" w:hAnsi="Times New Roman"/>
        </w:rPr>
        <w:t xml:space="preserve"> </w:t>
      </w:r>
      <w:r>
        <w:rPr>
          <w:rFonts w:ascii="Times New Roman" w:hAnsi="Times New Roman"/>
        </w:rPr>
        <w:t>M.G.L. c. 12C, §</w:t>
      </w:r>
      <w:r w:rsidR="00161749">
        <w:rPr>
          <w:rFonts w:ascii="Times New Roman" w:hAnsi="Times New Roman"/>
        </w:rPr>
        <w:t xml:space="preserve"> </w:t>
      </w:r>
      <w:r>
        <w:rPr>
          <w:rFonts w:ascii="Times New Roman" w:hAnsi="Times New Roman"/>
        </w:rPr>
        <w:t xml:space="preserve">14, the SQAC is required to make its recommendation of SQMS measures to the Center annually, on or before November 1. The Center will notify Providers of changes to the SQMS by Administrative Bulletin, as necessary. </w:t>
      </w:r>
      <w:r w:rsidR="005F479F">
        <w:rPr>
          <w:rFonts w:ascii="Times New Roman" w:hAnsi="Times New Roman"/>
        </w:rPr>
        <w:t xml:space="preserve">Until further notice, Providers are not required to submit data for these measures to the Center. </w:t>
      </w:r>
    </w:p>
    <w:tbl>
      <w:tblPr>
        <w:tblW w:w="98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7742"/>
        <w:gridCol w:w="11"/>
        <w:gridCol w:w="1219"/>
        <w:gridCol w:w="11"/>
        <w:gridCol w:w="875"/>
        <w:gridCol w:w="12"/>
      </w:tblGrid>
      <w:tr w:rsidR="00C35BEA" w:rsidRPr="00D81026" w:rsidTr="00A447E9">
        <w:trPr>
          <w:gridAfter w:val="1"/>
          <w:wAfter w:w="12" w:type="dxa"/>
          <w:cantSplit/>
          <w:trHeight w:val="70"/>
          <w:tblHeader/>
        </w:trPr>
        <w:tc>
          <w:tcPr>
            <w:tcW w:w="7742" w:type="dxa"/>
            <w:shd w:val="clear" w:color="auto" w:fill="auto"/>
            <w:vAlign w:val="center"/>
          </w:tcPr>
          <w:p w:rsidR="00A447E9" w:rsidRPr="00A447E9" w:rsidRDefault="00A447E9" w:rsidP="00A447E9">
            <w:pPr>
              <w:jc w:val="center"/>
              <w:rPr>
                <w:rFonts w:ascii="Times New Roman" w:eastAsia="Times New Roman" w:hAnsi="Times New Roman"/>
                <w:b/>
                <w:bCs/>
                <w:sz w:val="20"/>
                <w:szCs w:val="20"/>
              </w:rPr>
            </w:pPr>
            <w:r w:rsidRPr="00A447E9">
              <w:rPr>
                <w:rFonts w:ascii="Times New Roman" w:eastAsia="Times New Roman" w:hAnsi="Times New Roman"/>
                <w:b/>
                <w:bCs/>
                <w:sz w:val="20"/>
                <w:szCs w:val="20"/>
              </w:rPr>
              <w:t>Measure/Tool Name</w:t>
            </w:r>
          </w:p>
        </w:tc>
        <w:tc>
          <w:tcPr>
            <w:tcW w:w="1230" w:type="dxa"/>
            <w:gridSpan w:val="2"/>
            <w:shd w:val="clear" w:color="auto" w:fill="auto"/>
            <w:vAlign w:val="center"/>
          </w:tcPr>
          <w:p w:rsidR="00A447E9" w:rsidRPr="00A447E9" w:rsidRDefault="00A447E9" w:rsidP="00A447E9">
            <w:pPr>
              <w:jc w:val="center"/>
              <w:rPr>
                <w:rFonts w:ascii="Times New Roman" w:eastAsia="Times New Roman" w:hAnsi="Times New Roman"/>
                <w:b/>
                <w:bCs/>
                <w:sz w:val="20"/>
                <w:szCs w:val="20"/>
              </w:rPr>
            </w:pPr>
            <w:r w:rsidRPr="00A447E9">
              <w:rPr>
                <w:rFonts w:ascii="Times New Roman" w:eastAsia="Times New Roman" w:hAnsi="Times New Roman"/>
                <w:b/>
                <w:bCs/>
                <w:sz w:val="20"/>
                <w:szCs w:val="20"/>
              </w:rPr>
              <w:t>Set</w:t>
            </w:r>
          </w:p>
        </w:tc>
        <w:tc>
          <w:tcPr>
            <w:tcW w:w="886" w:type="dxa"/>
            <w:gridSpan w:val="2"/>
            <w:shd w:val="clear" w:color="auto" w:fill="auto"/>
            <w:vAlign w:val="center"/>
          </w:tcPr>
          <w:p w:rsidR="00A447E9" w:rsidRPr="00A447E9" w:rsidRDefault="00A447E9" w:rsidP="00A447E9">
            <w:pPr>
              <w:jc w:val="center"/>
              <w:rPr>
                <w:rFonts w:ascii="Times New Roman" w:eastAsia="Times New Roman" w:hAnsi="Times New Roman"/>
                <w:b/>
                <w:bCs/>
                <w:sz w:val="20"/>
                <w:szCs w:val="20"/>
              </w:rPr>
            </w:pPr>
            <w:r w:rsidRPr="00A447E9">
              <w:rPr>
                <w:rFonts w:ascii="Times New Roman" w:eastAsia="Times New Roman" w:hAnsi="Times New Roman"/>
                <w:b/>
                <w:bCs/>
                <w:sz w:val="20"/>
                <w:szCs w:val="20"/>
              </w:rPr>
              <w:t>NQF</w:t>
            </w:r>
            <w:r w:rsidR="00DB37C2">
              <w:rPr>
                <w:rFonts w:ascii="Times New Roman" w:eastAsia="Times New Roman" w:hAnsi="Times New Roman"/>
                <w:b/>
                <w:bCs/>
                <w:sz w:val="20"/>
                <w:szCs w:val="20"/>
              </w:rPr>
              <w:t>*</w:t>
            </w:r>
            <w:r w:rsidRPr="00A447E9">
              <w:rPr>
                <w:rFonts w:ascii="Times New Roman" w:eastAsia="Times New Roman" w:hAnsi="Times New Roman"/>
                <w:b/>
                <w:bCs/>
                <w:sz w:val="20"/>
                <w:szCs w:val="20"/>
              </w:rPr>
              <w:t xml:space="preserve"> #</w:t>
            </w:r>
          </w:p>
        </w:tc>
      </w:tr>
      <w:tr w:rsidR="004B76E8" w:rsidRPr="00D81026" w:rsidTr="005913E0">
        <w:trPr>
          <w:gridAfter w:val="1"/>
          <w:wAfter w:w="12" w:type="dxa"/>
          <w:trHeight w:val="146"/>
        </w:trPr>
        <w:tc>
          <w:tcPr>
            <w:tcW w:w="9858" w:type="dxa"/>
            <w:gridSpan w:val="5"/>
            <w:shd w:val="clear" w:color="auto" w:fill="D3DFEE"/>
            <w:vAlign w:val="center"/>
          </w:tcPr>
          <w:p w:rsidR="004B76E8" w:rsidRPr="004B76E8" w:rsidRDefault="004B76E8" w:rsidP="004B76E8">
            <w:pPr>
              <w:jc w:val="center"/>
              <w:rPr>
                <w:rFonts w:ascii="Times New Roman" w:eastAsia="Times New Roman" w:hAnsi="Times New Roman"/>
                <w:b/>
                <w:sz w:val="20"/>
                <w:szCs w:val="20"/>
              </w:rPr>
            </w:pPr>
            <w:r w:rsidRPr="004B76E8">
              <w:rPr>
                <w:rFonts w:ascii="Times New Roman" w:eastAsia="Times New Roman" w:hAnsi="Times New Roman"/>
                <w:b/>
                <w:sz w:val="20"/>
                <w:szCs w:val="20"/>
              </w:rPr>
              <w:t>Physician Measures</w:t>
            </w:r>
          </w:p>
        </w:tc>
      </w:tr>
      <w:tr w:rsidR="00A447E9" w:rsidRPr="00D81026" w:rsidTr="00A447E9">
        <w:trPr>
          <w:gridAfter w:val="1"/>
          <w:wAfter w:w="12" w:type="dxa"/>
          <w:trHeight w:val="146"/>
        </w:trPr>
        <w:tc>
          <w:tcPr>
            <w:tcW w:w="7742" w:type="dxa"/>
            <w:shd w:val="clear" w:color="auto" w:fill="D3DFEE"/>
            <w:vAlign w:val="center"/>
          </w:tcPr>
          <w:p w:rsidR="00A447E9" w:rsidRPr="00A447E9" w:rsidRDefault="00A447E9" w:rsidP="008A301C">
            <w:pPr>
              <w:rPr>
                <w:rFonts w:ascii="Times New Roman" w:eastAsia="Times New Roman" w:hAnsi="Times New Roman"/>
                <w:sz w:val="20"/>
                <w:szCs w:val="20"/>
              </w:rPr>
            </w:pPr>
            <w:r w:rsidRPr="00A447E9">
              <w:rPr>
                <w:rFonts w:ascii="Times New Roman" w:eastAsia="Times New Roman" w:hAnsi="Times New Roman"/>
                <w:sz w:val="20"/>
                <w:szCs w:val="20"/>
              </w:rPr>
              <w:t>Consumer Assessment of Healthcare Providers and Systems (CAHPS) - Clinician &amp; Group Survey</w:t>
            </w:r>
          </w:p>
        </w:tc>
        <w:tc>
          <w:tcPr>
            <w:tcW w:w="1230" w:type="dxa"/>
            <w:gridSpan w:val="2"/>
            <w:shd w:val="clear" w:color="auto" w:fill="D3DFEE"/>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CAHPS</w:t>
            </w:r>
          </w:p>
        </w:tc>
        <w:tc>
          <w:tcPr>
            <w:tcW w:w="886" w:type="dxa"/>
            <w:gridSpan w:val="2"/>
            <w:shd w:val="clear" w:color="auto" w:fill="D3DFEE"/>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5</w:t>
            </w:r>
          </w:p>
        </w:tc>
      </w:tr>
      <w:tr w:rsidR="00C35BEA" w:rsidRPr="00D81026" w:rsidTr="00A447E9">
        <w:trPr>
          <w:gridAfter w:val="1"/>
          <w:wAfter w:w="12" w:type="dxa"/>
          <w:trHeight w:val="146"/>
        </w:trPr>
        <w:tc>
          <w:tcPr>
            <w:tcW w:w="7742" w:type="dxa"/>
            <w:shd w:val="clear" w:color="auto" w:fill="auto"/>
            <w:vAlign w:val="center"/>
          </w:tcPr>
          <w:p w:rsidR="00A447E9" w:rsidRPr="00A447E9" w:rsidRDefault="00A447E9" w:rsidP="008A301C">
            <w:pPr>
              <w:rPr>
                <w:rFonts w:ascii="Times New Roman" w:eastAsia="Times New Roman" w:hAnsi="Times New Roman"/>
                <w:sz w:val="20"/>
                <w:szCs w:val="20"/>
              </w:rPr>
            </w:pPr>
            <w:r w:rsidRPr="00A447E9">
              <w:rPr>
                <w:rFonts w:ascii="Times New Roman" w:eastAsia="Times New Roman" w:hAnsi="Times New Roman"/>
                <w:sz w:val="20"/>
                <w:szCs w:val="20"/>
              </w:rPr>
              <w:t>Therapeutic monitoring: Annual monitoring for patients on persistent medications</w:t>
            </w:r>
          </w:p>
        </w:tc>
        <w:tc>
          <w:tcPr>
            <w:tcW w:w="1230" w:type="dxa"/>
            <w:gridSpan w:val="2"/>
            <w:shd w:val="clear" w:color="auto" w:fill="auto"/>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HEDIS</w:t>
            </w:r>
          </w:p>
        </w:tc>
        <w:tc>
          <w:tcPr>
            <w:tcW w:w="886" w:type="dxa"/>
            <w:gridSpan w:val="2"/>
            <w:shd w:val="clear" w:color="auto" w:fill="auto"/>
            <w:vAlign w:val="center"/>
          </w:tcPr>
          <w:p w:rsidR="00A447E9" w:rsidRPr="00A447E9" w:rsidRDefault="00A447E9" w:rsidP="00A447E9">
            <w:pPr>
              <w:jc w:val="center"/>
              <w:rPr>
                <w:rFonts w:ascii="Times New Roman" w:eastAsia="Times New Roman" w:hAnsi="Times New Roman"/>
                <w:sz w:val="20"/>
                <w:szCs w:val="20"/>
              </w:rPr>
            </w:pPr>
          </w:p>
        </w:tc>
      </w:tr>
      <w:tr w:rsidR="00A447E9" w:rsidRPr="00D81026" w:rsidTr="00A447E9">
        <w:trPr>
          <w:gridAfter w:val="1"/>
          <w:wAfter w:w="12" w:type="dxa"/>
          <w:trHeight w:val="146"/>
        </w:trPr>
        <w:tc>
          <w:tcPr>
            <w:tcW w:w="7742" w:type="dxa"/>
            <w:shd w:val="clear" w:color="auto" w:fill="D3DFEE"/>
            <w:vAlign w:val="center"/>
          </w:tcPr>
          <w:p w:rsidR="00A447E9" w:rsidRPr="00A447E9" w:rsidRDefault="00A447E9" w:rsidP="008A301C">
            <w:pPr>
              <w:rPr>
                <w:rFonts w:ascii="Times New Roman" w:eastAsia="Times New Roman" w:hAnsi="Times New Roman"/>
                <w:sz w:val="20"/>
                <w:szCs w:val="20"/>
              </w:rPr>
            </w:pPr>
            <w:r w:rsidRPr="00A447E9">
              <w:rPr>
                <w:rFonts w:ascii="Times New Roman" w:eastAsia="Times New Roman" w:hAnsi="Times New Roman"/>
                <w:sz w:val="20"/>
                <w:szCs w:val="20"/>
              </w:rPr>
              <w:t>Use of spirometry testing in the assessment and diagnosis of chronic obstructive pulmonary disease (COPD)</w:t>
            </w:r>
          </w:p>
        </w:tc>
        <w:tc>
          <w:tcPr>
            <w:tcW w:w="1230" w:type="dxa"/>
            <w:gridSpan w:val="2"/>
            <w:shd w:val="clear" w:color="auto" w:fill="D3DFEE"/>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HEDIS</w:t>
            </w:r>
          </w:p>
        </w:tc>
        <w:tc>
          <w:tcPr>
            <w:tcW w:w="886" w:type="dxa"/>
            <w:gridSpan w:val="2"/>
            <w:shd w:val="clear" w:color="auto" w:fill="D3DFEE"/>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577</w:t>
            </w:r>
          </w:p>
        </w:tc>
      </w:tr>
      <w:tr w:rsidR="00C35BEA" w:rsidRPr="00D81026" w:rsidTr="00A447E9">
        <w:trPr>
          <w:gridAfter w:val="1"/>
          <w:wAfter w:w="12" w:type="dxa"/>
          <w:trHeight w:val="146"/>
        </w:trPr>
        <w:tc>
          <w:tcPr>
            <w:tcW w:w="7742" w:type="dxa"/>
            <w:shd w:val="clear" w:color="auto" w:fill="auto"/>
            <w:vAlign w:val="center"/>
          </w:tcPr>
          <w:p w:rsidR="00A447E9" w:rsidRPr="00A447E9" w:rsidRDefault="00A447E9" w:rsidP="008A301C">
            <w:pPr>
              <w:rPr>
                <w:rFonts w:ascii="Times New Roman" w:eastAsia="Times New Roman" w:hAnsi="Times New Roman"/>
                <w:sz w:val="20"/>
                <w:szCs w:val="20"/>
              </w:rPr>
            </w:pPr>
            <w:r w:rsidRPr="00A447E9">
              <w:rPr>
                <w:rFonts w:ascii="Times New Roman" w:eastAsia="Times New Roman" w:hAnsi="Times New Roman"/>
                <w:sz w:val="20"/>
                <w:szCs w:val="20"/>
              </w:rPr>
              <w:t>Cholesterol management for patients with cardiovascular conditions</w:t>
            </w:r>
          </w:p>
        </w:tc>
        <w:tc>
          <w:tcPr>
            <w:tcW w:w="1230" w:type="dxa"/>
            <w:gridSpan w:val="2"/>
            <w:shd w:val="clear" w:color="auto" w:fill="auto"/>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HEDIS</w:t>
            </w:r>
          </w:p>
        </w:tc>
        <w:tc>
          <w:tcPr>
            <w:tcW w:w="886" w:type="dxa"/>
            <w:gridSpan w:val="2"/>
            <w:shd w:val="clear" w:color="auto" w:fill="auto"/>
            <w:vAlign w:val="center"/>
          </w:tcPr>
          <w:p w:rsidR="00A447E9" w:rsidRPr="00A447E9" w:rsidRDefault="00A447E9" w:rsidP="00A447E9">
            <w:pPr>
              <w:jc w:val="center"/>
              <w:rPr>
                <w:rFonts w:ascii="Times New Roman" w:eastAsia="Times New Roman" w:hAnsi="Times New Roman"/>
                <w:sz w:val="20"/>
                <w:szCs w:val="20"/>
              </w:rPr>
            </w:pPr>
          </w:p>
        </w:tc>
      </w:tr>
      <w:tr w:rsidR="00A447E9" w:rsidRPr="00D81026" w:rsidTr="00A447E9">
        <w:trPr>
          <w:gridAfter w:val="1"/>
          <w:wAfter w:w="12" w:type="dxa"/>
          <w:trHeight w:val="146"/>
        </w:trPr>
        <w:tc>
          <w:tcPr>
            <w:tcW w:w="7742" w:type="dxa"/>
            <w:shd w:val="clear" w:color="auto" w:fill="D3DFEE"/>
            <w:vAlign w:val="center"/>
          </w:tcPr>
          <w:p w:rsidR="00A447E9" w:rsidRPr="00A447E9" w:rsidRDefault="00A447E9" w:rsidP="008A301C">
            <w:pPr>
              <w:rPr>
                <w:rFonts w:ascii="Times New Roman" w:eastAsia="Times New Roman" w:hAnsi="Times New Roman"/>
                <w:sz w:val="20"/>
                <w:szCs w:val="20"/>
              </w:rPr>
            </w:pPr>
            <w:r w:rsidRPr="00A447E9">
              <w:rPr>
                <w:rFonts w:ascii="Times New Roman" w:eastAsia="Times New Roman" w:hAnsi="Times New Roman"/>
                <w:sz w:val="20"/>
                <w:szCs w:val="20"/>
              </w:rPr>
              <w:t>Controlling high blood pressure</w:t>
            </w:r>
          </w:p>
        </w:tc>
        <w:tc>
          <w:tcPr>
            <w:tcW w:w="1230" w:type="dxa"/>
            <w:gridSpan w:val="2"/>
            <w:shd w:val="clear" w:color="auto" w:fill="D3DFEE"/>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HEDIS</w:t>
            </w:r>
          </w:p>
        </w:tc>
        <w:tc>
          <w:tcPr>
            <w:tcW w:w="886" w:type="dxa"/>
            <w:gridSpan w:val="2"/>
            <w:shd w:val="clear" w:color="auto" w:fill="D3DFEE"/>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18</w:t>
            </w:r>
          </w:p>
        </w:tc>
      </w:tr>
      <w:tr w:rsidR="00C35BEA" w:rsidRPr="00D81026" w:rsidTr="00A447E9">
        <w:trPr>
          <w:gridAfter w:val="1"/>
          <w:wAfter w:w="12" w:type="dxa"/>
          <w:trHeight w:val="146"/>
        </w:trPr>
        <w:tc>
          <w:tcPr>
            <w:tcW w:w="7742" w:type="dxa"/>
            <w:shd w:val="clear" w:color="auto" w:fill="auto"/>
            <w:vAlign w:val="center"/>
          </w:tcPr>
          <w:p w:rsidR="00A447E9" w:rsidRPr="00A447E9" w:rsidRDefault="00A447E9" w:rsidP="008A301C">
            <w:pPr>
              <w:rPr>
                <w:rFonts w:ascii="Times New Roman" w:eastAsia="Times New Roman" w:hAnsi="Times New Roman"/>
                <w:sz w:val="20"/>
                <w:szCs w:val="20"/>
              </w:rPr>
            </w:pPr>
            <w:r w:rsidRPr="00A447E9">
              <w:rPr>
                <w:rFonts w:ascii="Times New Roman" w:eastAsia="Times New Roman" w:hAnsi="Times New Roman"/>
                <w:sz w:val="20"/>
                <w:szCs w:val="20"/>
              </w:rPr>
              <w:t xml:space="preserve">Comprehensive diabetes care </w:t>
            </w:r>
          </w:p>
        </w:tc>
        <w:tc>
          <w:tcPr>
            <w:tcW w:w="1230" w:type="dxa"/>
            <w:gridSpan w:val="2"/>
            <w:shd w:val="clear" w:color="auto" w:fill="auto"/>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HEDIS</w:t>
            </w:r>
          </w:p>
        </w:tc>
        <w:tc>
          <w:tcPr>
            <w:tcW w:w="886" w:type="dxa"/>
            <w:gridSpan w:val="2"/>
            <w:shd w:val="clear" w:color="auto" w:fill="auto"/>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731</w:t>
            </w:r>
          </w:p>
        </w:tc>
      </w:tr>
      <w:tr w:rsidR="00A447E9" w:rsidRPr="00D81026" w:rsidTr="00A447E9">
        <w:trPr>
          <w:gridAfter w:val="1"/>
          <w:wAfter w:w="12" w:type="dxa"/>
          <w:trHeight w:val="146"/>
        </w:trPr>
        <w:tc>
          <w:tcPr>
            <w:tcW w:w="7742" w:type="dxa"/>
            <w:shd w:val="clear" w:color="auto" w:fill="D3DFEE"/>
            <w:vAlign w:val="center"/>
          </w:tcPr>
          <w:p w:rsidR="00A447E9" w:rsidRPr="00A447E9" w:rsidRDefault="00A447E9" w:rsidP="008A301C">
            <w:pPr>
              <w:rPr>
                <w:rFonts w:ascii="Times New Roman" w:eastAsia="Times New Roman" w:hAnsi="Times New Roman"/>
                <w:bCs/>
                <w:sz w:val="20"/>
                <w:szCs w:val="20"/>
              </w:rPr>
            </w:pPr>
            <w:r w:rsidRPr="00A447E9">
              <w:rPr>
                <w:rFonts w:ascii="Times New Roman" w:eastAsia="Times New Roman" w:hAnsi="Times New Roman"/>
                <w:bCs/>
                <w:sz w:val="20"/>
                <w:szCs w:val="20"/>
              </w:rPr>
              <w:t>Use of appropriate medications for people with asthma</w:t>
            </w:r>
          </w:p>
        </w:tc>
        <w:tc>
          <w:tcPr>
            <w:tcW w:w="1230" w:type="dxa"/>
            <w:gridSpan w:val="2"/>
            <w:shd w:val="clear" w:color="auto" w:fill="D3DFEE"/>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HEDIS</w:t>
            </w:r>
          </w:p>
        </w:tc>
        <w:tc>
          <w:tcPr>
            <w:tcW w:w="886" w:type="dxa"/>
            <w:gridSpan w:val="2"/>
            <w:shd w:val="clear" w:color="auto" w:fill="D3DFEE"/>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36</w:t>
            </w:r>
          </w:p>
        </w:tc>
      </w:tr>
      <w:tr w:rsidR="00C35BEA" w:rsidRPr="00D81026" w:rsidTr="00A447E9">
        <w:trPr>
          <w:gridAfter w:val="1"/>
          <w:wAfter w:w="12" w:type="dxa"/>
          <w:trHeight w:val="146"/>
        </w:trPr>
        <w:tc>
          <w:tcPr>
            <w:tcW w:w="7742" w:type="dxa"/>
            <w:shd w:val="clear" w:color="auto" w:fill="auto"/>
            <w:vAlign w:val="center"/>
          </w:tcPr>
          <w:p w:rsidR="00A447E9" w:rsidRPr="00A447E9" w:rsidRDefault="00A447E9" w:rsidP="008A301C">
            <w:pPr>
              <w:rPr>
                <w:rFonts w:ascii="Times New Roman" w:eastAsia="Times New Roman" w:hAnsi="Times New Roman"/>
                <w:bCs/>
                <w:sz w:val="20"/>
                <w:szCs w:val="20"/>
              </w:rPr>
            </w:pPr>
            <w:r w:rsidRPr="00A447E9">
              <w:rPr>
                <w:rFonts w:ascii="Times New Roman" w:eastAsia="Times New Roman" w:hAnsi="Times New Roman"/>
                <w:bCs/>
                <w:sz w:val="20"/>
                <w:szCs w:val="20"/>
              </w:rPr>
              <w:t>Disease modifying anti-rheumatic drug therapy for rheumatoid arthritis</w:t>
            </w:r>
          </w:p>
        </w:tc>
        <w:tc>
          <w:tcPr>
            <w:tcW w:w="1230" w:type="dxa"/>
            <w:gridSpan w:val="2"/>
            <w:shd w:val="clear" w:color="auto" w:fill="auto"/>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HEDIS</w:t>
            </w:r>
          </w:p>
        </w:tc>
        <w:tc>
          <w:tcPr>
            <w:tcW w:w="886" w:type="dxa"/>
            <w:gridSpan w:val="2"/>
            <w:shd w:val="clear" w:color="auto" w:fill="auto"/>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54</w:t>
            </w:r>
          </w:p>
        </w:tc>
      </w:tr>
      <w:tr w:rsidR="00A447E9" w:rsidRPr="00D81026" w:rsidTr="00A447E9">
        <w:trPr>
          <w:gridAfter w:val="1"/>
          <w:wAfter w:w="12" w:type="dxa"/>
          <w:trHeight w:val="146"/>
        </w:trPr>
        <w:tc>
          <w:tcPr>
            <w:tcW w:w="7742" w:type="dxa"/>
            <w:shd w:val="clear" w:color="auto" w:fill="D3DFEE"/>
            <w:vAlign w:val="center"/>
          </w:tcPr>
          <w:p w:rsidR="00A447E9" w:rsidRPr="00A447E9" w:rsidRDefault="00A447E9" w:rsidP="008A301C">
            <w:pPr>
              <w:rPr>
                <w:rFonts w:ascii="Times New Roman" w:eastAsia="Times New Roman" w:hAnsi="Times New Roman"/>
                <w:bCs/>
                <w:sz w:val="20"/>
                <w:szCs w:val="20"/>
              </w:rPr>
            </w:pPr>
            <w:r w:rsidRPr="00A447E9">
              <w:rPr>
                <w:rFonts w:ascii="Times New Roman" w:eastAsia="Times New Roman" w:hAnsi="Times New Roman"/>
                <w:bCs/>
                <w:sz w:val="20"/>
                <w:szCs w:val="20"/>
              </w:rPr>
              <w:t>Osteoporosis management in women who had fracture</w:t>
            </w:r>
          </w:p>
        </w:tc>
        <w:tc>
          <w:tcPr>
            <w:tcW w:w="1230" w:type="dxa"/>
            <w:gridSpan w:val="2"/>
            <w:shd w:val="clear" w:color="auto" w:fill="D3DFEE"/>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HEDIS</w:t>
            </w:r>
          </w:p>
        </w:tc>
        <w:tc>
          <w:tcPr>
            <w:tcW w:w="886" w:type="dxa"/>
            <w:gridSpan w:val="2"/>
            <w:shd w:val="clear" w:color="auto" w:fill="D3DFEE"/>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53</w:t>
            </w:r>
          </w:p>
        </w:tc>
      </w:tr>
      <w:tr w:rsidR="00C35BEA" w:rsidRPr="00D81026" w:rsidTr="00A447E9">
        <w:trPr>
          <w:gridAfter w:val="1"/>
          <w:wAfter w:w="12" w:type="dxa"/>
          <w:trHeight w:val="146"/>
        </w:trPr>
        <w:tc>
          <w:tcPr>
            <w:tcW w:w="7742" w:type="dxa"/>
            <w:shd w:val="clear" w:color="auto" w:fill="auto"/>
            <w:vAlign w:val="center"/>
          </w:tcPr>
          <w:p w:rsidR="00A447E9" w:rsidRPr="00A447E9" w:rsidRDefault="00A447E9" w:rsidP="008A301C">
            <w:pPr>
              <w:rPr>
                <w:rFonts w:ascii="Times New Roman" w:eastAsia="Times New Roman" w:hAnsi="Times New Roman"/>
                <w:bCs/>
                <w:sz w:val="20"/>
                <w:szCs w:val="20"/>
              </w:rPr>
            </w:pPr>
            <w:r w:rsidRPr="00A447E9">
              <w:rPr>
                <w:rFonts w:ascii="Times New Roman" w:eastAsia="Times New Roman" w:hAnsi="Times New Roman"/>
                <w:bCs/>
                <w:sz w:val="20"/>
                <w:szCs w:val="20"/>
              </w:rPr>
              <w:t>Pharmacotherapy of chronic obstructive pulmonary disease (COPD) exacerbation</w:t>
            </w:r>
          </w:p>
        </w:tc>
        <w:tc>
          <w:tcPr>
            <w:tcW w:w="1230" w:type="dxa"/>
            <w:gridSpan w:val="2"/>
            <w:shd w:val="clear" w:color="auto" w:fill="auto"/>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HEDIS</w:t>
            </w:r>
          </w:p>
        </w:tc>
        <w:tc>
          <w:tcPr>
            <w:tcW w:w="886" w:type="dxa"/>
            <w:gridSpan w:val="2"/>
            <w:shd w:val="clear" w:color="auto" w:fill="auto"/>
            <w:vAlign w:val="center"/>
          </w:tcPr>
          <w:p w:rsidR="00A447E9" w:rsidRPr="00A447E9" w:rsidRDefault="00A447E9" w:rsidP="00A447E9">
            <w:pPr>
              <w:jc w:val="center"/>
              <w:rPr>
                <w:rFonts w:ascii="Times New Roman" w:eastAsia="Times New Roman" w:hAnsi="Times New Roman"/>
                <w:sz w:val="20"/>
                <w:szCs w:val="20"/>
              </w:rPr>
            </w:pPr>
          </w:p>
        </w:tc>
      </w:tr>
      <w:tr w:rsidR="00A447E9" w:rsidRPr="00D81026" w:rsidTr="00A447E9">
        <w:trPr>
          <w:gridAfter w:val="1"/>
          <w:wAfter w:w="12" w:type="dxa"/>
          <w:trHeight w:val="146"/>
        </w:trPr>
        <w:tc>
          <w:tcPr>
            <w:tcW w:w="7742" w:type="dxa"/>
            <w:shd w:val="clear" w:color="auto" w:fill="D3DFEE"/>
            <w:vAlign w:val="center"/>
          </w:tcPr>
          <w:p w:rsidR="00A447E9" w:rsidRPr="00A447E9" w:rsidRDefault="00A447E9" w:rsidP="008A301C">
            <w:pPr>
              <w:rPr>
                <w:rFonts w:ascii="Times New Roman" w:eastAsia="Times New Roman" w:hAnsi="Times New Roman"/>
                <w:sz w:val="20"/>
                <w:szCs w:val="20"/>
              </w:rPr>
            </w:pPr>
            <w:r w:rsidRPr="00A447E9">
              <w:rPr>
                <w:rFonts w:ascii="Times New Roman" w:eastAsia="Times New Roman" w:hAnsi="Times New Roman"/>
                <w:sz w:val="20"/>
                <w:szCs w:val="20"/>
              </w:rPr>
              <w:lastRenderedPageBreak/>
              <w:t>Medication management for people with asthma (MMA)</w:t>
            </w:r>
          </w:p>
        </w:tc>
        <w:tc>
          <w:tcPr>
            <w:tcW w:w="1230" w:type="dxa"/>
            <w:gridSpan w:val="2"/>
            <w:shd w:val="clear" w:color="auto" w:fill="D3DFEE"/>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HEDIS</w:t>
            </w:r>
          </w:p>
        </w:tc>
        <w:tc>
          <w:tcPr>
            <w:tcW w:w="886" w:type="dxa"/>
            <w:gridSpan w:val="2"/>
            <w:shd w:val="clear" w:color="auto" w:fill="D3DFEE"/>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1799</w:t>
            </w:r>
          </w:p>
        </w:tc>
      </w:tr>
      <w:tr w:rsidR="00C35BEA" w:rsidRPr="00D81026" w:rsidTr="00A447E9">
        <w:trPr>
          <w:gridAfter w:val="1"/>
          <w:wAfter w:w="12" w:type="dxa"/>
          <w:trHeight w:val="146"/>
        </w:trPr>
        <w:tc>
          <w:tcPr>
            <w:tcW w:w="7742" w:type="dxa"/>
            <w:shd w:val="clear" w:color="auto" w:fill="auto"/>
            <w:vAlign w:val="center"/>
          </w:tcPr>
          <w:p w:rsidR="00A447E9" w:rsidRPr="00A447E9" w:rsidRDefault="00A447E9" w:rsidP="008A301C">
            <w:pPr>
              <w:rPr>
                <w:rFonts w:ascii="Times New Roman" w:eastAsia="Times New Roman" w:hAnsi="Times New Roman"/>
                <w:sz w:val="20"/>
                <w:szCs w:val="20"/>
              </w:rPr>
            </w:pPr>
            <w:r w:rsidRPr="00A447E9">
              <w:rPr>
                <w:rFonts w:ascii="Times New Roman" w:eastAsia="Times New Roman" w:hAnsi="Times New Roman"/>
                <w:sz w:val="20"/>
                <w:szCs w:val="20"/>
              </w:rPr>
              <w:t>Asthma Medication Ratio</w:t>
            </w:r>
          </w:p>
        </w:tc>
        <w:tc>
          <w:tcPr>
            <w:tcW w:w="1230" w:type="dxa"/>
            <w:gridSpan w:val="2"/>
            <w:shd w:val="clear" w:color="auto" w:fill="auto"/>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HEDIS</w:t>
            </w:r>
          </w:p>
        </w:tc>
        <w:tc>
          <w:tcPr>
            <w:tcW w:w="886" w:type="dxa"/>
            <w:gridSpan w:val="2"/>
            <w:shd w:val="clear" w:color="auto" w:fill="auto"/>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1800</w:t>
            </w:r>
          </w:p>
        </w:tc>
      </w:tr>
      <w:tr w:rsidR="00A447E9" w:rsidRPr="00D81026" w:rsidTr="00A447E9">
        <w:trPr>
          <w:gridAfter w:val="1"/>
          <w:wAfter w:w="12" w:type="dxa"/>
          <w:trHeight w:val="146"/>
        </w:trPr>
        <w:tc>
          <w:tcPr>
            <w:tcW w:w="7742" w:type="dxa"/>
            <w:shd w:val="clear" w:color="auto" w:fill="D3DFEE"/>
            <w:vAlign w:val="center"/>
          </w:tcPr>
          <w:p w:rsidR="00A447E9" w:rsidRPr="00A447E9" w:rsidRDefault="00A447E9" w:rsidP="008A301C">
            <w:pPr>
              <w:rPr>
                <w:rFonts w:ascii="Times New Roman" w:eastAsia="Times New Roman" w:hAnsi="Times New Roman"/>
                <w:sz w:val="20"/>
                <w:szCs w:val="20"/>
              </w:rPr>
            </w:pPr>
            <w:r w:rsidRPr="00A447E9">
              <w:rPr>
                <w:rFonts w:ascii="Times New Roman" w:eastAsia="Times New Roman" w:hAnsi="Times New Roman"/>
                <w:sz w:val="20"/>
                <w:szCs w:val="20"/>
              </w:rPr>
              <w:t>CAHPS Health Plan Survey: Children with Chronic Conditions Supplement</w:t>
            </w:r>
          </w:p>
        </w:tc>
        <w:tc>
          <w:tcPr>
            <w:tcW w:w="1230" w:type="dxa"/>
            <w:gridSpan w:val="2"/>
            <w:shd w:val="clear" w:color="auto" w:fill="D3DFEE"/>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HEDIS</w:t>
            </w:r>
          </w:p>
        </w:tc>
        <w:tc>
          <w:tcPr>
            <w:tcW w:w="886" w:type="dxa"/>
            <w:gridSpan w:val="2"/>
            <w:shd w:val="clear" w:color="auto" w:fill="D3DFEE"/>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9</w:t>
            </w:r>
          </w:p>
        </w:tc>
      </w:tr>
      <w:tr w:rsidR="00C35BEA" w:rsidRPr="00D81026" w:rsidTr="00A447E9">
        <w:trPr>
          <w:gridAfter w:val="1"/>
          <w:wAfter w:w="12" w:type="dxa"/>
          <w:trHeight w:val="146"/>
        </w:trPr>
        <w:tc>
          <w:tcPr>
            <w:tcW w:w="7742" w:type="dxa"/>
            <w:shd w:val="clear" w:color="auto" w:fill="auto"/>
            <w:vAlign w:val="center"/>
          </w:tcPr>
          <w:p w:rsidR="00A447E9" w:rsidRPr="00A447E9" w:rsidRDefault="00A447E9" w:rsidP="008A301C">
            <w:pPr>
              <w:rPr>
                <w:rFonts w:ascii="Times New Roman" w:eastAsia="Times New Roman" w:hAnsi="Times New Roman"/>
                <w:bCs/>
                <w:sz w:val="20"/>
                <w:szCs w:val="20"/>
              </w:rPr>
            </w:pPr>
            <w:r w:rsidRPr="00A447E9">
              <w:rPr>
                <w:rFonts w:ascii="Times New Roman" w:eastAsia="Times New Roman" w:hAnsi="Times New Roman"/>
                <w:bCs/>
                <w:sz w:val="20"/>
                <w:szCs w:val="20"/>
              </w:rPr>
              <w:t>Fall Risk Management</w:t>
            </w:r>
          </w:p>
        </w:tc>
        <w:tc>
          <w:tcPr>
            <w:tcW w:w="1230" w:type="dxa"/>
            <w:gridSpan w:val="2"/>
            <w:shd w:val="clear" w:color="auto" w:fill="auto"/>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HEDIS</w:t>
            </w:r>
          </w:p>
        </w:tc>
        <w:tc>
          <w:tcPr>
            <w:tcW w:w="886" w:type="dxa"/>
            <w:gridSpan w:val="2"/>
            <w:shd w:val="clear" w:color="auto" w:fill="auto"/>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35</w:t>
            </w:r>
          </w:p>
        </w:tc>
      </w:tr>
      <w:tr w:rsidR="00A447E9" w:rsidRPr="00D81026" w:rsidTr="00A447E9">
        <w:trPr>
          <w:gridAfter w:val="1"/>
          <w:wAfter w:w="12" w:type="dxa"/>
          <w:trHeight w:val="146"/>
        </w:trPr>
        <w:tc>
          <w:tcPr>
            <w:tcW w:w="7742" w:type="dxa"/>
            <w:shd w:val="clear" w:color="auto" w:fill="D3DFEE"/>
            <w:vAlign w:val="center"/>
          </w:tcPr>
          <w:p w:rsidR="00A447E9" w:rsidRPr="00A447E9" w:rsidRDefault="00A447E9" w:rsidP="008A301C">
            <w:pPr>
              <w:rPr>
                <w:rFonts w:ascii="Times New Roman" w:eastAsia="Times New Roman" w:hAnsi="Times New Roman"/>
                <w:bCs/>
                <w:sz w:val="20"/>
                <w:szCs w:val="20"/>
              </w:rPr>
            </w:pPr>
            <w:r w:rsidRPr="00A447E9">
              <w:rPr>
                <w:rFonts w:ascii="Times New Roman" w:eastAsia="Times New Roman" w:hAnsi="Times New Roman"/>
                <w:bCs/>
                <w:sz w:val="20"/>
                <w:szCs w:val="20"/>
              </w:rPr>
              <w:t>Potentially harmful drug-disease interactions in the elderly</w:t>
            </w:r>
          </w:p>
        </w:tc>
        <w:tc>
          <w:tcPr>
            <w:tcW w:w="1230" w:type="dxa"/>
            <w:gridSpan w:val="2"/>
            <w:shd w:val="clear" w:color="auto" w:fill="D3DFEE"/>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HEDIS</w:t>
            </w:r>
          </w:p>
        </w:tc>
        <w:tc>
          <w:tcPr>
            <w:tcW w:w="886" w:type="dxa"/>
            <w:gridSpan w:val="2"/>
            <w:shd w:val="clear" w:color="auto" w:fill="D3DFEE"/>
            <w:vAlign w:val="center"/>
          </w:tcPr>
          <w:p w:rsidR="00A447E9" w:rsidRPr="00A447E9" w:rsidRDefault="00A447E9" w:rsidP="00A447E9">
            <w:pPr>
              <w:jc w:val="center"/>
              <w:rPr>
                <w:rFonts w:ascii="Times New Roman" w:eastAsia="Times New Roman" w:hAnsi="Times New Roman"/>
                <w:sz w:val="20"/>
                <w:szCs w:val="20"/>
              </w:rPr>
            </w:pPr>
          </w:p>
        </w:tc>
      </w:tr>
      <w:tr w:rsidR="00C35BEA" w:rsidRPr="00D81026" w:rsidTr="00A447E9">
        <w:trPr>
          <w:gridAfter w:val="1"/>
          <w:wAfter w:w="12" w:type="dxa"/>
          <w:trHeight w:val="146"/>
        </w:trPr>
        <w:tc>
          <w:tcPr>
            <w:tcW w:w="7742" w:type="dxa"/>
            <w:shd w:val="clear" w:color="auto" w:fill="auto"/>
            <w:vAlign w:val="center"/>
          </w:tcPr>
          <w:p w:rsidR="00A447E9" w:rsidRPr="00A447E9" w:rsidRDefault="00A447E9" w:rsidP="008A301C">
            <w:pPr>
              <w:rPr>
                <w:rFonts w:ascii="Times New Roman" w:eastAsia="Times New Roman" w:hAnsi="Times New Roman"/>
                <w:bCs/>
                <w:sz w:val="20"/>
                <w:szCs w:val="20"/>
              </w:rPr>
            </w:pPr>
            <w:r w:rsidRPr="00A447E9">
              <w:rPr>
                <w:rFonts w:ascii="Times New Roman" w:eastAsia="Times New Roman" w:hAnsi="Times New Roman"/>
                <w:bCs/>
                <w:sz w:val="20"/>
                <w:szCs w:val="20"/>
              </w:rPr>
              <w:t>Avoidance of antibiotic treatment in adults with acute bronchitis</w:t>
            </w:r>
          </w:p>
        </w:tc>
        <w:tc>
          <w:tcPr>
            <w:tcW w:w="1230" w:type="dxa"/>
            <w:gridSpan w:val="2"/>
            <w:shd w:val="clear" w:color="auto" w:fill="auto"/>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HEDIS</w:t>
            </w:r>
          </w:p>
        </w:tc>
        <w:tc>
          <w:tcPr>
            <w:tcW w:w="886" w:type="dxa"/>
            <w:gridSpan w:val="2"/>
            <w:shd w:val="clear" w:color="auto" w:fill="auto"/>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58</w:t>
            </w:r>
          </w:p>
        </w:tc>
      </w:tr>
      <w:tr w:rsidR="00A447E9" w:rsidRPr="00D81026" w:rsidTr="00A447E9">
        <w:trPr>
          <w:gridAfter w:val="1"/>
          <w:wAfter w:w="12" w:type="dxa"/>
          <w:trHeight w:val="146"/>
        </w:trPr>
        <w:tc>
          <w:tcPr>
            <w:tcW w:w="7742" w:type="dxa"/>
            <w:shd w:val="clear" w:color="auto" w:fill="D3DFEE"/>
            <w:vAlign w:val="center"/>
          </w:tcPr>
          <w:p w:rsidR="00A447E9" w:rsidRPr="00A447E9" w:rsidRDefault="00A447E9" w:rsidP="008A301C">
            <w:pPr>
              <w:rPr>
                <w:rFonts w:ascii="Times New Roman" w:eastAsia="Times New Roman" w:hAnsi="Times New Roman"/>
                <w:bCs/>
                <w:sz w:val="20"/>
                <w:szCs w:val="20"/>
              </w:rPr>
            </w:pPr>
            <w:r w:rsidRPr="00A447E9">
              <w:rPr>
                <w:rFonts w:ascii="Times New Roman" w:eastAsia="Times New Roman" w:hAnsi="Times New Roman"/>
                <w:bCs/>
                <w:sz w:val="20"/>
                <w:szCs w:val="20"/>
              </w:rPr>
              <w:t>Use of imaging studies for low back pain</w:t>
            </w:r>
          </w:p>
        </w:tc>
        <w:tc>
          <w:tcPr>
            <w:tcW w:w="1230" w:type="dxa"/>
            <w:gridSpan w:val="2"/>
            <w:shd w:val="clear" w:color="auto" w:fill="D3DFEE"/>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HEDIS</w:t>
            </w:r>
          </w:p>
        </w:tc>
        <w:tc>
          <w:tcPr>
            <w:tcW w:w="886" w:type="dxa"/>
            <w:gridSpan w:val="2"/>
            <w:shd w:val="clear" w:color="auto" w:fill="D3DFEE"/>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52</w:t>
            </w:r>
          </w:p>
        </w:tc>
      </w:tr>
      <w:tr w:rsidR="00C35BEA" w:rsidRPr="00D81026" w:rsidTr="00A447E9">
        <w:trPr>
          <w:gridAfter w:val="1"/>
          <w:wAfter w:w="12" w:type="dxa"/>
          <w:trHeight w:val="146"/>
        </w:trPr>
        <w:tc>
          <w:tcPr>
            <w:tcW w:w="7742" w:type="dxa"/>
            <w:shd w:val="clear" w:color="auto" w:fill="auto"/>
            <w:vAlign w:val="center"/>
          </w:tcPr>
          <w:p w:rsidR="00A447E9" w:rsidRPr="00A447E9" w:rsidRDefault="00A447E9" w:rsidP="008A301C">
            <w:pPr>
              <w:rPr>
                <w:rFonts w:ascii="Times New Roman" w:eastAsia="Times New Roman" w:hAnsi="Times New Roman"/>
                <w:bCs/>
                <w:sz w:val="20"/>
                <w:szCs w:val="20"/>
              </w:rPr>
            </w:pPr>
            <w:r w:rsidRPr="00A447E9">
              <w:rPr>
                <w:rFonts w:ascii="Times New Roman" w:eastAsia="Times New Roman" w:hAnsi="Times New Roman"/>
                <w:bCs/>
                <w:sz w:val="20"/>
                <w:szCs w:val="20"/>
              </w:rPr>
              <w:t>Use of high-risk medications in the elderly</w:t>
            </w:r>
          </w:p>
        </w:tc>
        <w:tc>
          <w:tcPr>
            <w:tcW w:w="1230" w:type="dxa"/>
            <w:gridSpan w:val="2"/>
            <w:shd w:val="clear" w:color="auto" w:fill="auto"/>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HEDIS</w:t>
            </w:r>
          </w:p>
        </w:tc>
        <w:tc>
          <w:tcPr>
            <w:tcW w:w="886" w:type="dxa"/>
            <w:gridSpan w:val="2"/>
            <w:shd w:val="clear" w:color="auto" w:fill="auto"/>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22</w:t>
            </w:r>
          </w:p>
        </w:tc>
      </w:tr>
      <w:tr w:rsidR="00A447E9" w:rsidRPr="00D81026" w:rsidTr="00A447E9">
        <w:trPr>
          <w:gridAfter w:val="1"/>
          <w:wAfter w:w="12" w:type="dxa"/>
          <w:trHeight w:val="146"/>
        </w:trPr>
        <w:tc>
          <w:tcPr>
            <w:tcW w:w="7742" w:type="dxa"/>
            <w:shd w:val="clear" w:color="auto" w:fill="D3DFEE"/>
            <w:vAlign w:val="center"/>
          </w:tcPr>
          <w:p w:rsidR="00A447E9" w:rsidRPr="00A447E9" w:rsidRDefault="00A447E9" w:rsidP="008A301C">
            <w:pPr>
              <w:rPr>
                <w:rFonts w:ascii="Times New Roman" w:eastAsia="Times New Roman" w:hAnsi="Times New Roman"/>
                <w:bCs/>
                <w:sz w:val="20"/>
                <w:szCs w:val="20"/>
              </w:rPr>
            </w:pPr>
            <w:r w:rsidRPr="00A447E9">
              <w:rPr>
                <w:rFonts w:ascii="Times New Roman" w:eastAsia="Times New Roman" w:hAnsi="Times New Roman"/>
                <w:bCs/>
                <w:sz w:val="20"/>
                <w:szCs w:val="20"/>
              </w:rPr>
              <w:t>Care for older adults - medication review</w:t>
            </w:r>
          </w:p>
        </w:tc>
        <w:tc>
          <w:tcPr>
            <w:tcW w:w="1230" w:type="dxa"/>
            <w:gridSpan w:val="2"/>
            <w:shd w:val="clear" w:color="auto" w:fill="D3DFEE"/>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HEDIS</w:t>
            </w:r>
          </w:p>
        </w:tc>
        <w:tc>
          <w:tcPr>
            <w:tcW w:w="886" w:type="dxa"/>
            <w:gridSpan w:val="2"/>
            <w:shd w:val="clear" w:color="auto" w:fill="D3DFEE"/>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553</w:t>
            </w:r>
          </w:p>
        </w:tc>
      </w:tr>
      <w:tr w:rsidR="00C35BEA" w:rsidRPr="00D81026" w:rsidTr="00A447E9">
        <w:trPr>
          <w:gridAfter w:val="1"/>
          <w:wAfter w:w="12" w:type="dxa"/>
          <w:trHeight w:val="146"/>
        </w:trPr>
        <w:tc>
          <w:tcPr>
            <w:tcW w:w="7742" w:type="dxa"/>
            <w:shd w:val="clear" w:color="auto" w:fill="auto"/>
            <w:vAlign w:val="center"/>
          </w:tcPr>
          <w:p w:rsidR="00A447E9" w:rsidRPr="00A447E9" w:rsidRDefault="00A447E9" w:rsidP="008A301C">
            <w:pPr>
              <w:rPr>
                <w:rFonts w:ascii="Times New Roman" w:eastAsia="Times New Roman" w:hAnsi="Times New Roman"/>
                <w:bCs/>
                <w:sz w:val="20"/>
                <w:szCs w:val="20"/>
              </w:rPr>
            </w:pPr>
            <w:r w:rsidRPr="00A447E9">
              <w:rPr>
                <w:rFonts w:ascii="Times New Roman" w:eastAsia="Times New Roman" w:hAnsi="Times New Roman"/>
                <w:bCs/>
                <w:sz w:val="20"/>
                <w:szCs w:val="20"/>
              </w:rPr>
              <w:t>Persistence of beta-blocker treatment after a heart attack</w:t>
            </w:r>
          </w:p>
        </w:tc>
        <w:tc>
          <w:tcPr>
            <w:tcW w:w="1230" w:type="dxa"/>
            <w:gridSpan w:val="2"/>
            <w:shd w:val="clear" w:color="auto" w:fill="auto"/>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HEDIS</w:t>
            </w:r>
          </w:p>
        </w:tc>
        <w:tc>
          <w:tcPr>
            <w:tcW w:w="886" w:type="dxa"/>
            <w:gridSpan w:val="2"/>
            <w:shd w:val="clear" w:color="auto" w:fill="auto"/>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71</w:t>
            </w:r>
          </w:p>
        </w:tc>
      </w:tr>
      <w:tr w:rsidR="00A447E9" w:rsidRPr="00D81026" w:rsidTr="00A447E9">
        <w:trPr>
          <w:gridAfter w:val="1"/>
          <w:wAfter w:w="12" w:type="dxa"/>
          <w:trHeight w:val="146"/>
        </w:trPr>
        <w:tc>
          <w:tcPr>
            <w:tcW w:w="7742" w:type="dxa"/>
            <w:shd w:val="clear" w:color="auto" w:fill="D3DFEE"/>
            <w:vAlign w:val="center"/>
          </w:tcPr>
          <w:p w:rsidR="00A447E9" w:rsidRPr="00A447E9" w:rsidRDefault="00A447E9" w:rsidP="008A301C">
            <w:pPr>
              <w:rPr>
                <w:rFonts w:ascii="Times New Roman" w:eastAsia="Times New Roman" w:hAnsi="Times New Roman"/>
                <w:bCs/>
                <w:sz w:val="20"/>
                <w:szCs w:val="20"/>
              </w:rPr>
            </w:pPr>
            <w:r w:rsidRPr="00A447E9">
              <w:rPr>
                <w:rFonts w:ascii="Times New Roman" w:eastAsia="Times New Roman" w:hAnsi="Times New Roman"/>
                <w:bCs/>
                <w:sz w:val="20"/>
                <w:szCs w:val="20"/>
              </w:rPr>
              <w:t>Glaucoma screening in older adults</w:t>
            </w:r>
          </w:p>
        </w:tc>
        <w:tc>
          <w:tcPr>
            <w:tcW w:w="1230" w:type="dxa"/>
            <w:gridSpan w:val="2"/>
            <w:shd w:val="clear" w:color="auto" w:fill="D3DFEE"/>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HEDIS</w:t>
            </w:r>
          </w:p>
        </w:tc>
        <w:tc>
          <w:tcPr>
            <w:tcW w:w="886" w:type="dxa"/>
            <w:gridSpan w:val="2"/>
            <w:shd w:val="clear" w:color="auto" w:fill="D3DFEE"/>
            <w:vAlign w:val="center"/>
          </w:tcPr>
          <w:p w:rsidR="00A447E9" w:rsidRPr="00A447E9" w:rsidRDefault="00A447E9" w:rsidP="00A447E9">
            <w:pPr>
              <w:jc w:val="center"/>
              <w:rPr>
                <w:rFonts w:ascii="Times New Roman" w:eastAsia="Times New Roman" w:hAnsi="Times New Roman"/>
                <w:sz w:val="20"/>
                <w:szCs w:val="20"/>
              </w:rPr>
            </w:pPr>
          </w:p>
        </w:tc>
      </w:tr>
      <w:tr w:rsidR="00C35BEA" w:rsidRPr="00D81026" w:rsidTr="00A447E9">
        <w:trPr>
          <w:gridAfter w:val="1"/>
          <w:wAfter w:w="12" w:type="dxa"/>
          <w:trHeight w:val="146"/>
        </w:trPr>
        <w:tc>
          <w:tcPr>
            <w:tcW w:w="7742" w:type="dxa"/>
            <w:shd w:val="clear" w:color="auto" w:fill="auto"/>
            <w:vAlign w:val="center"/>
          </w:tcPr>
          <w:p w:rsidR="00A447E9" w:rsidRPr="00A447E9" w:rsidRDefault="00A447E9" w:rsidP="008A301C">
            <w:pPr>
              <w:rPr>
                <w:rFonts w:ascii="Times New Roman" w:eastAsia="Times New Roman" w:hAnsi="Times New Roman"/>
                <w:bCs/>
                <w:sz w:val="20"/>
                <w:szCs w:val="20"/>
              </w:rPr>
            </w:pPr>
            <w:r w:rsidRPr="00A447E9">
              <w:rPr>
                <w:rFonts w:ascii="Times New Roman" w:eastAsia="Times New Roman" w:hAnsi="Times New Roman"/>
                <w:bCs/>
                <w:sz w:val="20"/>
                <w:szCs w:val="20"/>
              </w:rPr>
              <w:t>Urinary Incontinence Management in Older Adults</w:t>
            </w:r>
          </w:p>
        </w:tc>
        <w:tc>
          <w:tcPr>
            <w:tcW w:w="1230" w:type="dxa"/>
            <w:gridSpan w:val="2"/>
            <w:shd w:val="clear" w:color="auto" w:fill="auto"/>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HEDIS</w:t>
            </w:r>
          </w:p>
        </w:tc>
        <w:tc>
          <w:tcPr>
            <w:tcW w:w="886" w:type="dxa"/>
            <w:gridSpan w:val="2"/>
            <w:shd w:val="clear" w:color="auto" w:fill="auto"/>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30</w:t>
            </w:r>
          </w:p>
        </w:tc>
      </w:tr>
      <w:tr w:rsidR="00A447E9" w:rsidRPr="00D81026" w:rsidTr="00A447E9">
        <w:trPr>
          <w:gridAfter w:val="1"/>
          <w:wAfter w:w="12" w:type="dxa"/>
          <w:trHeight w:val="146"/>
        </w:trPr>
        <w:tc>
          <w:tcPr>
            <w:tcW w:w="7742" w:type="dxa"/>
            <w:shd w:val="clear" w:color="auto" w:fill="D3DFEE"/>
            <w:vAlign w:val="center"/>
          </w:tcPr>
          <w:p w:rsidR="00A447E9" w:rsidRPr="00A447E9" w:rsidRDefault="00A447E9" w:rsidP="008A301C">
            <w:pPr>
              <w:rPr>
                <w:rFonts w:ascii="Times New Roman" w:eastAsia="Times New Roman" w:hAnsi="Times New Roman"/>
                <w:bCs/>
                <w:sz w:val="20"/>
                <w:szCs w:val="20"/>
              </w:rPr>
            </w:pPr>
            <w:r w:rsidRPr="00A447E9">
              <w:rPr>
                <w:rFonts w:ascii="Times New Roman" w:eastAsia="Times New Roman" w:hAnsi="Times New Roman"/>
                <w:bCs/>
                <w:sz w:val="20"/>
                <w:szCs w:val="20"/>
              </w:rPr>
              <w:t>Counseling on Physical Activity in Older Adults</w:t>
            </w:r>
          </w:p>
        </w:tc>
        <w:tc>
          <w:tcPr>
            <w:tcW w:w="1230" w:type="dxa"/>
            <w:gridSpan w:val="2"/>
            <w:shd w:val="clear" w:color="auto" w:fill="D3DFEE"/>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HEDIS</w:t>
            </w:r>
          </w:p>
        </w:tc>
        <w:tc>
          <w:tcPr>
            <w:tcW w:w="886" w:type="dxa"/>
            <w:gridSpan w:val="2"/>
            <w:shd w:val="clear" w:color="auto" w:fill="D3DFEE"/>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29</w:t>
            </w:r>
          </w:p>
        </w:tc>
      </w:tr>
      <w:tr w:rsidR="00C35BEA" w:rsidRPr="00D81026" w:rsidTr="00A447E9">
        <w:trPr>
          <w:gridAfter w:val="1"/>
          <w:wAfter w:w="12" w:type="dxa"/>
          <w:trHeight w:val="146"/>
        </w:trPr>
        <w:tc>
          <w:tcPr>
            <w:tcW w:w="7742" w:type="dxa"/>
            <w:shd w:val="clear" w:color="auto" w:fill="auto"/>
            <w:vAlign w:val="center"/>
          </w:tcPr>
          <w:p w:rsidR="00A447E9" w:rsidRPr="00A447E9" w:rsidRDefault="00A447E9" w:rsidP="008A301C">
            <w:pPr>
              <w:rPr>
                <w:rFonts w:ascii="Times New Roman" w:eastAsia="Times New Roman" w:hAnsi="Times New Roman"/>
                <w:bCs/>
                <w:sz w:val="20"/>
                <w:szCs w:val="20"/>
              </w:rPr>
            </w:pPr>
            <w:r w:rsidRPr="00A447E9">
              <w:rPr>
                <w:rFonts w:ascii="Times New Roman" w:eastAsia="Times New Roman" w:hAnsi="Times New Roman"/>
                <w:bCs/>
                <w:sz w:val="20"/>
                <w:szCs w:val="20"/>
              </w:rPr>
              <w:t>Aspirin Use and Discussion</w:t>
            </w:r>
          </w:p>
        </w:tc>
        <w:tc>
          <w:tcPr>
            <w:tcW w:w="1230" w:type="dxa"/>
            <w:gridSpan w:val="2"/>
            <w:shd w:val="clear" w:color="auto" w:fill="auto"/>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HEDIS</w:t>
            </w:r>
          </w:p>
        </w:tc>
        <w:tc>
          <w:tcPr>
            <w:tcW w:w="886" w:type="dxa"/>
            <w:gridSpan w:val="2"/>
            <w:shd w:val="clear" w:color="auto" w:fill="auto"/>
            <w:vAlign w:val="center"/>
          </w:tcPr>
          <w:p w:rsidR="00A447E9" w:rsidRPr="00A447E9" w:rsidRDefault="00A447E9" w:rsidP="00A447E9">
            <w:pPr>
              <w:jc w:val="center"/>
              <w:rPr>
                <w:rFonts w:ascii="Times New Roman" w:eastAsia="Times New Roman" w:hAnsi="Times New Roman"/>
                <w:sz w:val="20"/>
                <w:szCs w:val="20"/>
              </w:rPr>
            </w:pPr>
          </w:p>
        </w:tc>
      </w:tr>
      <w:tr w:rsidR="00A447E9" w:rsidRPr="00D81026" w:rsidTr="00A447E9">
        <w:trPr>
          <w:gridAfter w:val="1"/>
          <w:wAfter w:w="12" w:type="dxa"/>
          <w:trHeight w:val="146"/>
        </w:trPr>
        <w:tc>
          <w:tcPr>
            <w:tcW w:w="7742" w:type="dxa"/>
            <w:shd w:val="clear" w:color="auto" w:fill="D3DFEE"/>
            <w:vAlign w:val="center"/>
          </w:tcPr>
          <w:p w:rsidR="00A447E9" w:rsidRPr="00A447E9" w:rsidRDefault="00A447E9" w:rsidP="008A301C">
            <w:pPr>
              <w:rPr>
                <w:rFonts w:ascii="Times New Roman" w:eastAsia="Times New Roman" w:hAnsi="Times New Roman"/>
                <w:bCs/>
                <w:sz w:val="20"/>
                <w:szCs w:val="20"/>
              </w:rPr>
            </w:pPr>
            <w:r w:rsidRPr="00A447E9">
              <w:rPr>
                <w:rFonts w:ascii="Times New Roman" w:eastAsia="Times New Roman" w:hAnsi="Times New Roman"/>
                <w:bCs/>
                <w:sz w:val="20"/>
                <w:szCs w:val="20"/>
              </w:rPr>
              <w:t>Medication reconciliation post-discharge</w:t>
            </w:r>
          </w:p>
        </w:tc>
        <w:tc>
          <w:tcPr>
            <w:tcW w:w="1230" w:type="dxa"/>
            <w:gridSpan w:val="2"/>
            <w:shd w:val="clear" w:color="auto" w:fill="D3DFEE"/>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HEDIS</w:t>
            </w:r>
          </w:p>
        </w:tc>
        <w:tc>
          <w:tcPr>
            <w:tcW w:w="886" w:type="dxa"/>
            <w:gridSpan w:val="2"/>
            <w:shd w:val="clear" w:color="auto" w:fill="D3DFEE"/>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554</w:t>
            </w:r>
          </w:p>
        </w:tc>
      </w:tr>
      <w:tr w:rsidR="00C35BEA" w:rsidRPr="00D81026" w:rsidTr="00A447E9">
        <w:trPr>
          <w:gridAfter w:val="1"/>
          <w:wAfter w:w="12" w:type="dxa"/>
          <w:trHeight w:val="146"/>
        </w:trPr>
        <w:tc>
          <w:tcPr>
            <w:tcW w:w="7753" w:type="dxa"/>
            <w:gridSpan w:val="2"/>
            <w:shd w:val="clear" w:color="auto" w:fill="auto"/>
            <w:vAlign w:val="center"/>
          </w:tcPr>
          <w:p w:rsidR="00A447E9" w:rsidRPr="00A447E9" w:rsidRDefault="00A447E9" w:rsidP="00A447E9">
            <w:pPr>
              <w:tabs>
                <w:tab w:val="left" w:pos="750"/>
              </w:tabs>
              <w:rPr>
                <w:rFonts w:ascii="Times New Roman" w:eastAsia="Times New Roman" w:hAnsi="Times New Roman"/>
                <w:sz w:val="20"/>
                <w:szCs w:val="20"/>
              </w:rPr>
            </w:pPr>
            <w:r w:rsidRPr="00A447E9">
              <w:rPr>
                <w:rFonts w:ascii="Times New Roman" w:eastAsia="Times New Roman" w:hAnsi="Times New Roman"/>
                <w:sz w:val="20"/>
                <w:szCs w:val="20"/>
              </w:rPr>
              <w:t>Appropriate treatment for children with upper respiratory infection</w:t>
            </w:r>
          </w:p>
        </w:tc>
        <w:tc>
          <w:tcPr>
            <w:tcW w:w="1219" w:type="dxa"/>
            <w:shd w:val="clear" w:color="auto" w:fill="auto"/>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HEDIS</w:t>
            </w:r>
          </w:p>
        </w:tc>
        <w:tc>
          <w:tcPr>
            <w:tcW w:w="886" w:type="dxa"/>
            <w:gridSpan w:val="2"/>
            <w:shd w:val="clear" w:color="auto" w:fill="auto"/>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69</w:t>
            </w:r>
          </w:p>
        </w:tc>
      </w:tr>
      <w:tr w:rsidR="00A447E9" w:rsidRPr="00D81026" w:rsidTr="00A447E9">
        <w:trPr>
          <w:gridAfter w:val="1"/>
          <w:wAfter w:w="12" w:type="dxa"/>
          <w:trHeight w:val="146"/>
        </w:trPr>
        <w:tc>
          <w:tcPr>
            <w:tcW w:w="7753" w:type="dxa"/>
            <w:gridSpan w:val="2"/>
            <w:shd w:val="clear" w:color="auto" w:fill="D3DFEE"/>
            <w:vAlign w:val="center"/>
          </w:tcPr>
          <w:p w:rsidR="00A447E9" w:rsidRPr="00A447E9" w:rsidRDefault="00A447E9" w:rsidP="00A447E9">
            <w:pPr>
              <w:tabs>
                <w:tab w:val="left" w:pos="750"/>
              </w:tabs>
              <w:rPr>
                <w:rFonts w:ascii="Times New Roman" w:eastAsia="Times New Roman" w:hAnsi="Times New Roman"/>
                <w:sz w:val="20"/>
                <w:szCs w:val="20"/>
              </w:rPr>
            </w:pPr>
            <w:r w:rsidRPr="00A447E9">
              <w:rPr>
                <w:rFonts w:ascii="Times New Roman" w:eastAsia="Times New Roman" w:hAnsi="Times New Roman"/>
                <w:sz w:val="20"/>
                <w:szCs w:val="20"/>
              </w:rPr>
              <w:t>Well-child visits in the third, fourth, fifth and sixth years of life</w:t>
            </w:r>
          </w:p>
        </w:tc>
        <w:tc>
          <w:tcPr>
            <w:tcW w:w="1219" w:type="dxa"/>
            <w:shd w:val="clear" w:color="auto" w:fill="D3DFEE"/>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HEDIS</w:t>
            </w:r>
          </w:p>
        </w:tc>
        <w:tc>
          <w:tcPr>
            <w:tcW w:w="886" w:type="dxa"/>
            <w:gridSpan w:val="2"/>
            <w:shd w:val="clear" w:color="auto" w:fill="D3DFEE"/>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1516</w:t>
            </w:r>
          </w:p>
        </w:tc>
      </w:tr>
      <w:tr w:rsidR="00C35BEA" w:rsidRPr="00D81026" w:rsidTr="00A447E9">
        <w:trPr>
          <w:gridAfter w:val="1"/>
          <w:wAfter w:w="12" w:type="dxa"/>
          <w:trHeight w:val="146"/>
        </w:trPr>
        <w:tc>
          <w:tcPr>
            <w:tcW w:w="7753" w:type="dxa"/>
            <w:gridSpan w:val="2"/>
            <w:shd w:val="clear" w:color="auto" w:fill="auto"/>
            <w:vAlign w:val="center"/>
          </w:tcPr>
          <w:p w:rsidR="00A447E9" w:rsidRPr="00A447E9" w:rsidRDefault="00A447E9" w:rsidP="00A447E9">
            <w:pPr>
              <w:tabs>
                <w:tab w:val="left" w:pos="750"/>
              </w:tabs>
              <w:rPr>
                <w:rFonts w:ascii="Times New Roman" w:eastAsia="Times New Roman" w:hAnsi="Times New Roman"/>
                <w:sz w:val="20"/>
                <w:szCs w:val="20"/>
              </w:rPr>
            </w:pPr>
            <w:r w:rsidRPr="00A447E9">
              <w:rPr>
                <w:rFonts w:ascii="Times New Roman" w:eastAsia="Times New Roman" w:hAnsi="Times New Roman"/>
                <w:sz w:val="20"/>
                <w:szCs w:val="20"/>
              </w:rPr>
              <w:t>Appropriate testing of children with pharyngitis</w:t>
            </w:r>
          </w:p>
        </w:tc>
        <w:tc>
          <w:tcPr>
            <w:tcW w:w="1219" w:type="dxa"/>
            <w:shd w:val="clear" w:color="auto" w:fill="auto"/>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HEDIS</w:t>
            </w:r>
          </w:p>
        </w:tc>
        <w:tc>
          <w:tcPr>
            <w:tcW w:w="886" w:type="dxa"/>
            <w:gridSpan w:val="2"/>
            <w:shd w:val="clear" w:color="auto" w:fill="auto"/>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2</w:t>
            </w:r>
          </w:p>
        </w:tc>
      </w:tr>
      <w:tr w:rsidR="00A447E9" w:rsidRPr="00D81026" w:rsidTr="00A447E9">
        <w:trPr>
          <w:gridAfter w:val="1"/>
          <w:wAfter w:w="12" w:type="dxa"/>
          <w:trHeight w:val="146"/>
        </w:trPr>
        <w:tc>
          <w:tcPr>
            <w:tcW w:w="7753" w:type="dxa"/>
            <w:gridSpan w:val="2"/>
            <w:shd w:val="clear" w:color="auto" w:fill="D3DFEE"/>
            <w:vAlign w:val="center"/>
          </w:tcPr>
          <w:p w:rsidR="00A447E9" w:rsidRPr="00A447E9" w:rsidRDefault="00A447E9" w:rsidP="00A447E9">
            <w:pPr>
              <w:tabs>
                <w:tab w:val="left" w:pos="750"/>
              </w:tabs>
              <w:rPr>
                <w:rFonts w:ascii="Times New Roman" w:eastAsia="Times New Roman" w:hAnsi="Times New Roman"/>
                <w:sz w:val="20"/>
                <w:szCs w:val="20"/>
              </w:rPr>
            </w:pPr>
            <w:r w:rsidRPr="00A447E9">
              <w:rPr>
                <w:rFonts w:ascii="Times New Roman" w:eastAsia="Times New Roman" w:hAnsi="Times New Roman"/>
                <w:sz w:val="20"/>
                <w:szCs w:val="20"/>
              </w:rPr>
              <w:t>Follow-up care for children prescribed ADHD medication</w:t>
            </w:r>
          </w:p>
        </w:tc>
        <w:tc>
          <w:tcPr>
            <w:tcW w:w="1219" w:type="dxa"/>
            <w:shd w:val="clear" w:color="auto" w:fill="D3DFEE"/>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HEDIS</w:t>
            </w:r>
          </w:p>
        </w:tc>
        <w:tc>
          <w:tcPr>
            <w:tcW w:w="886" w:type="dxa"/>
            <w:gridSpan w:val="2"/>
            <w:shd w:val="clear" w:color="auto" w:fill="D3DFEE"/>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108</w:t>
            </w:r>
          </w:p>
        </w:tc>
      </w:tr>
      <w:tr w:rsidR="00C35BEA" w:rsidRPr="00D81026" w:rsidTr="00A447E9">
        <w:trPr>
          <w:gridAfter w:val="1"/>
          <w:wAfter w:w="12" w:type="dxa"/>
          <w:trHeight w:val="146"/>
        </w:trPr>
        <w:tc>
          <w:tcPr>
            <w:tcW w:w="7753" w:type="dxa"/>
            <w:gridSpan w:val="2"/>
            <w:shd w:val="clear" w:color="auto" w:fill="auto"/>
            <w:vAlign w:val="center"/>
          </w:tcPr>
          <w:p w:rsidR="00A447E9" w:rsidRPr="00A447E9" w:rsidRDefault="00A447E9" w:rsidP="00A447E9">
            <w:pPr>
              <w:tabs>
                <w:tab w:val="left" w:pos="750"/>
              </w:tabs>
              <w:rPr>
                <w:rFonts w:ascii="Times New Roman" w:eastAsia="Times New Roman" w:hAnsi="Times New Roman"/>
                <w:sz w:val="20"/>
                <w:szCs w:val="20"/>
              </w:rPr>
            </w:pPr>
            <w:r w:rsidRPr="00A447E9">
              <w:rPr>
                <w:rFonts w:ascii="Times New Roman" w:eastAsia="Times New Roman" w:hAnsi="Times New Roman"/>
                <w:sz w:val="20"/>
                <w:szCs w:val="20"/>
              </w:rPr>
              <w:t>Adolescent well-care visits</w:t>
            </w:r>
          </w:p>
        </w:tc>
        <w:tc>
          <w:tcPr>
            <w:tcW w:w="1219" w:type="dxa"/>
            <w:shd w:val="clear" w:color="auto" w:fill="auto"/>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HEDIS</w:t>
            </w:r>
          </w:p>
        </w:tc>
        <w:tc>
          <w:tcPr>
            <w:tcW w:w="886" w:type="dxa"/>
            <w:gridSpan w:val="2"/>
            <w:shd w:val="clear" w:color="auto" w:fill="auto"/>
            <w:vAlign w:val="center"/>
          </w:tcPr>
          <w:p w:rsidR="00A447E9" w:rsidRPr="00A447E9" w:rsidRDefault="00A447E9" w:rsidP="00A447E9">
            <w:pPr>
              <w:jc w:val="center"/>
              <w:rPr>
                <w:rFonts w:ascii="Times New Roman" w:eastAsia="Times New Roman" w:hAnsi="Times New Roman"/>
                <w:sz w:val="20"/>
                <w:szCs w:val="20"/>
              </w:rPr>
            </w:pPr>
          </w:p>
        </w:tc>
      </w:tr>
      <w:tr w:rsidR="00A447E9" w:rsidRPr="00D81026" w:rsidTr="00A447E9">
        <w:trPr>
          <w:gridAfter w:val="1"/>
          <w:wAfter w:w="12" w:type="dxa"/>
          <w:trHeight w:val="146"/>
        </w:trPr>
        <w:tc>
          <w:tcPr>
            <w:tcW w:w="7753" w:type="dxa"/>
            <w:gridSpan w:val="2"/>
            <w:shd w:val="clear" w:color="auto" w:fill="D3DFEE"/>
            <w:vAlign w:val="center"/>
          </w:tcPr>
          <w:p w:rsidR="00A447E9" w:rsidRPr="00A447E9" w:rsidRDefault="00A447E9" w:rsidP="00A447E9">
            <w:pPr>
              <w:tabs>
                <w:tab w:val="left" w:pos="750"/>
              </w:tabs>
              <w:rPr>
                <w:rFonts w:ascii="Times New Roman" w:eastAsia="Times New Roman" w:hAnsi="Times New Roman"/>
                <w:sz w:val="20"/>
                <w:szCs w:val="20"/>
              </w:rPr>
            </w:pPr>
            <w:r w:rsidRPr="00A447E9">
              <w:rPr>
                <w:rFonts w:ascii="Times New Roman" w:eastAsia="Times New Roman" w:hAnsi="Times New Roman"/>
                <w:sz w:val="20"/>
                <w:szCs w:val="20"/>
              </w:rPr>
              <w:t>Childhood immunization status</w:t>
            </w:r>
          </w:p>
        </w:tc>
        <w:tc>
          <w:tcPr>
            <w:tcW w:w="1219" w:type="dxa"/>
            <w:shd w:val="clear" w:color="auto" w:fill="D3DFEE"/>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HEDIS</w:t>
            </w:r>
          </w:p>
        </w:tc>
        <w:tc>
          <w:tcPr>
            <w:tcW w:w="886" w:type="dxa"/>
            <w:gridSpan w:val="2"/>
            <w:shd w:val="clear" w:color="auto" w:fill="D3DFEE"/>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38</w:t>
            </w:r>
          </w:p>
        </w:tc>
      </w:tr>
      <w:tr w:rsidR="00C35BEA" w:rsidRPr="00D81026" w:rsidTr="00A447E9">
        <w:trPr>
          <w:gridAfter w:val="1"/>
          <w:wAfter w:w="12" w:type="dxa"/>
          <w:trHeight w:val="146"/>
        </w:trPr>
        <w:tc>
          <w:tcPr>
            <w:tcW w:w="7753" w:type="dxa"/>
            <w:gridSpan w:val="2"/>
            <w:shd w:val="clear" w:color="auto" w:fill="auto"/>
            <w:vAlign w:val="center"/>
          </w:tcPr>
          <w:p w:rsidR="00A447E9" w:rsidRPr="00A447E9" w:rsidRDefault="00A447E9" w:rsidP="00A447E9">
            <w:pPr>
              <w:tabs>
                <w:tab w:val="left" w:pos="750"/>
              </w:tabs>
              <w:rPr>
                <w:rFonts w:ascii="Times New Roman" w:eastAsia="Times New Roman" w:hAnsi="Times New Roman"/>
                <w:sz w:val="20"/>
                <w:szCs w:val="20"/>
              </w:rPr>
            </w:pPr>
            <w:r w:rsidRPr="00A447E9">
              <w:rPr>
                <w:rFonts w:ascii="Times New Roman" w:eastAsia="Times New Roman" w:hAnsi="Times New Roman"/>
                <w:sz w:val="20"/>
                <w:szCs w:val="20"/>
              </w:rPr>
              <w:lastRenderedPageBreak/>
              <w:t>Immunizations for adolescents</w:t>
            </w:r>
          </w:p>
        </w:tc>
        <w:tc>
          <w:tcPr>
            <w:tcW w:w="1219" w:type="dxa"/>
            <w:shd w:val="clear" w:color="auto" w:fill="auto"/>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HEDIS</w:t>
            </w:r>
          </w:p>
        </w:tc>
        <w:tc>
          <w:tcPr>
            <w:tcW w:w="886" w:type="dxa"/>
            <w:gridSpan w:val="2"/>
            <w:shd w:val="clear" w:color="auto" w:fill="auto"/>
            <w:vAlign w:val="center"/>
          </w:tcPr>
          <w:p w:rsidR="00A447E9" w:rsidRPr="00A447E9" w:rsidRDefault="00A447E9" w:rsidP="00A447E9">
            <w:pPr>
              <w:jc w:val="center"/>
              <w:rPr>
                <w:rFonts w:ascii="Times New Roman" w:eastAsia="Times New Roman" w:hAnsi="Times New Roman"/>
                <w:sz w:val="20"/>
                <w:szCs w:val="20"/>
              </w:rPr>
            </w:pPr>
          </w:p>
        </w:tc>
      </w:tr>
      <w:tr w:rsidR="00A447E9" w:rsidRPr="00D81026" w:rsidTr="00A447E9">
        <w:trPr>
          <w:gridAfter w:val="1"/>
          <w:wAfter w:w="12" w:type="dxa"/>
          <w:trHeight w:val="146"/>
        </w:trPr>
        <w:tc>
          <w:tcPr>
            <w:tcW w:w="7753" w:type="dxa"/>
            <w:gridSpan w:val="2"/>
            <w:shd w:val="clear" w:color="auto" w:fill="D3DFEE"/>
            <w:vAlign w:val="center"/>
          </w:tcPr>
          <w:p w:rsidR="00A447E9" w:rsidRPr="00A447E9" w:rsidRDefault="00A447E9" w:rsidP="00A447E9">
            <w:pPr>
              <w:tabs>
                <w:tab w:val="left" w:pos="750"/>
              </w:tabs>
              <w:rPr>
                <w:rFonts w:ascii="Times New Roman" w:eastAsia="Times New Roman" w:hAnsi="Times New Roman"/>
                <w:sz w:val="20"/>
                <w:szCs w:val="20"/>
              </w:rPr>
            </w:pPr>
            <w:r w:rsidRPr="00A447E9">
              <w:rPr>
                <w:rFonts w:ascii="Times New Roman" w:eastAsia="Times New Roman" w:hAnsi="Times New Roman"/>
                <w:sz w:val="20"/>
                <w:szCs w:val="20"/>
              </w:rPr>
              <w:t>Lead screening in children</w:t>
            </w:r>
          </w:p>
        </w:tc>
        <w:tc>
          <w:tcPr>
            <w:tcW w:w="1219" w:type="dxa"/>
            <w:shd w:val="clear" w:color="auto" w:fill="D3DFEE"/>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HEDIS</w:t>
            </w:r>
          </w:p>
        </w:tc>
        <w:tc>
          <w:tcPr>
            <w:tcW w:w="886" w:type="dxa"/>
            <w:gridSpan w:val="2"/>
            <w:shd w:val="clear" w:color="auto" w:fill="D3DFEE"/>
            <w:vAlign w:val="center"/>
          </w:tcPr>
          <w:p w:rsidR="00A447E9" w:rsidRPr="00A447E9" w:rsidRDefault="00A447E9" w:rsidP="00A447E9">
            <w:pPr>
              <w:jc w:val="center"/>
              <w:rPr>
                <w:rFonts w:ascii="Times New Roman" w:eastAsia="Times New Roman" w:hAnsi="Times New Roman"/>
                <w:sz w:val="20"/>
                <w:szCs w:val="20"/>
              </w:rPr>
            </w:pPr>
          </w:p>
        </w:tc>
      </w:tr>
      <w:tr w:rsidR="00C35BEA" w:rsidRPr="00D81026" w:rsidTr="00A447E9">
        <w:trPr>
          <w:gridAfter w:val="1"/>
          <w:wAfter w:w="12" w:type="dxa"/>
          <w:trHeight w:val="146"/>
        </w:trPr>
        <w:tc>
          <w:tcPr>
            <w:tcW w:w="7753" w:type="dxa"/>
            <w:gridSpan w:val="2"/>
            <w:shd w:val="clear" w:color="auto" w:fill="auto"/>
            <w:vAlign w:val="center"/>
          </w:tcPr>
          <w:p w:rsidR="00A447E9" w:rsidRPr="00A447E9" w:rsidRDefault="00A447E9" w:rsidP="00A447E9">
            <w:pPr>
              <w:tabs>
                <w:tab w:val="left" w:pos="750"/>
              </w:tabs>
              <w:rPr>
                <w:rFonts w:ascii="Times New Roman" w:eastAsia="Times New Roman" w:hAnsi="Times New Roman"/>
                <w:sz w:val="20"/>
                <w:szCs w:val="20"/>
              </w:rPr>
            </w:pPr>
            <w:r w:rsidRPr="00A447E9">
              <w:rPr>
                <w:rFonts w:ascii="Times New Roman" w:eastAsia="Times New Roman" w:hAnsi="Times New Roman"/>
                <w:sz w:val="20"/>
                <w:szCs w:val="20"/>
              </w:rPr>
              <w:t>Weight assessment and counseling for nutrition and physical activity for children/adolescents</w:t>
            </w:r>
          </w:p>
        </w:tc>
        <w:tc>
          <w:tcPr>
            <w:tcW w:w="1219" w:type="dxa"/>
            <w:shd w:val="clear" w:color="auto" w:fill="auto"/>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HEDIS</w:t>
            </w:r>
          </w:p>
        </w:tc>
        <w:tc>
          <w:tcPr>
            <w:tcW w:w="886" w:type="dxa"/>
            <w:gridSpan w:val="2"/>
            <w:shd w:val="clear" w:color="auto" w:fill="auto"/>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24</w:t>
            </w:r>
          </w:p>
        </w:tc>
      </w:tr>
      <w:tr w:rsidR="00A447E9" w:rsidRPr="00D81026" w:rsidTr="00A447E9">
        <w:trPr>
          <w:gridAfter w:val="1"/>
          <w:wAfter w:w="12" w:type="dxa"/>
          <w:trHeight w:val="146"/>
        </w:trPr>
        <w:tc>
          <w:tcPr>
            <w:tcW w:w="7753" w:type="dxa"/>
            <w:gridSpan w:val="2"/>
            <w:shd w:val="clear" w:color="auto" w:fill="D3DFEE"/>
            <w:vAlign w:val="center"/>
          </w:tcPr>
          <w:p w:rsidR="00A447E9" w:rsidRPr="00A447E9" w:rsidRDefault="00A447E9" w:rsidP="00A447E9">
            <w:pPr>
              <w:tabs>
                <w:tab w:val="left" w:pos="750"/>
              </w:tabs>
              <w:rPr>
                <w:rFonts w:ascii="Times New Roman" w:eastAsia="Times New Roman" w:hAnsi="Times New Roman"/>
                <w:sz w:val="20"/>
                <w:szCs w:val="20"/>
              </w:rPr>
            </w:pPr>
            <w:r w:rsidRPr="00A447E9">
              <w:rPr>
                <w:rFonts w:ascii="Times New Roman" w:eastAsia="Times New Roman" w:hAnsi="Times New Roman"/>
                <w:sz w:val="20"/>
                <w:szCs w:val="20"/>
              </w:rPr>
              <w:t>Children's and adolescents' access to primary care practitioners</w:t>
            </w:r>
          </w:p>
        </w:tc>
        <w:tc>
          <w:tcPr>
            <w:tcW w:w="1219" w:type="dxa"/>
            <w:shd w:val="clear" w:color="auto" w:fill="D3DFEE"/>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HEDIS</w:t>
            </w:r>
          </w:p>
        </w:tc>
        <w:tc>
          <w:tcPr>
            <w:tcW w:w="886" w:type="dxa"/>
            <w:gridSpan w:val="2"/>
            <w:shd w:val="clear" w:color="auto" w:fill="D3DFEE"/>
            <w:vAlign w:val="center"/>
          </w:tcPr>
          <w:p w:rsidR="00A447E9" w:rsidRPr="00A447E9" w:rsidRDefault="00A447E9" w:rsidP="00A447E9">
            <w:pPr>
              <w:jc w:val="center"/>
              <w:rPr>
                <w:rFonts w:ascii="Times New Roman" w:eastAsia="Times New Roman" w:hAnsi="Times New Roman"/>
                <w:sz w:val="20"/>
                <w:szCs w:val="20"/>
              </w:rPr>
            </w:pPr>
          </w:p>
        </w:tc>
      </w:tr>
      <w:tr w:rsidR="00C35BEA" w:rsidRPr="00D81026" w:rsidTr="00A447E9">
        <w:trPr>
          <w:gridAfter w:val="1"/>
          <w:wAfter w:w="12" w:type="dxa"/>
          <w:trHeight w:val="146"/>
        </w:trPr>
        <w:tc>
          <w:tcPr>
            <w:tcW w:w="7753" w:type="dxa"/>
            <w:gridSpan w:val="2"/>
            <w:shd w:val="clear" w:color="auto" w:fill="auto"/>
            <w:vAlign w:val="center"/>
          </w:tcPr>
          <w:p w:rsidR="00A447E9" w:rsidRPr="00A447E9" w:rsidRDefault="00A447E9" w:rsidP="00A447E9">
            <w:pPr>
              <w:tabs>
                <w:tab w:val="left" w:pos="750"/>
              </w:tabs>
              <w:rPr>
                <w:rFonts w:ascii="Times New Roman" w:eastAsia="Times New Roman" w:hAnsi="Times New Roman"/>
                <w:sz w:val="20"/>
                <w:szCs w:val="20"/>
              </w:rPr>
            </w:pPr>
            <w:r w:rsidRPr="00A447E9">
              <w:rPr>
                <w:rFonts w:ascii="Times New Roman" w:eastAsia="Times New Roman" w:hAnsi="Times New Roman"/>
                <w:sz w:val="20"/>
                <w:szCs w:val="20"/>
              </w:rPr>
              <w:t>Human Papillomavirus Vaccine for Female Adolescents</w:t>
            </w:r>
          </w:p>
        </w:tc>
        <w:tc>
          <w:tcPr>
            <w:tcW w:w="1219" w:type="dxa"/>
            <w:shd w:val="clear" w:color="auto" w:fill="auto"/>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HEDIS</w:t>
            </w:r>
          </w:p>
        </w:tc>
        <w:tc>
          <w:tcPr>
            <w:tcW w:w="886" w:type="dxa"/>
            <w:gridSpan w:val="2"/>
            <w:shd w:val="clear" w:color="auto" w:fill="auto"/>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1959</w:t>
            </w:r>
          </w:p>
        </w:tc>
      </w:tr>
      <w:tr w:rsidR="00A447E9" w:rsidRPr="00D81026" w:rsidTr="00A447E9">
        <w:trPr>
          <w:gridAfter w:val="1"/>
          <w:wAfter w:w="12" w:type="dxa"/>
          <w:trHeight w:val="146"/>
        </w:trPr>
        <w:tc>
          <w:tcPr>
            <w:tcW w:w="7753" w:type="dxa"/>
            <w:gridSpan w:val="2"/>
            <w:shd w:val="clear" w:color="auto" w:fill="D3DFEE"/>
            <w:vAlign w:val="center"/>
          </w:tcPr>
          <w:p w:rsidR="00A447E9" w:rsidRPr="00A447E9" w:rsidRDefault="00A447E9" w:rsidP="008A301C">
            <w:pPr>
              <w:rPr>
                <w:rFonts w:ascii="Times New Roman" w:eastAsia="Times New Roman" w:hAnsi="Times New Roman"/>
                <w:sz w:val="20"/>
                <w:szCs w:val="20"/>
              </w:rPr>
            </w:pPr>
            <w:r w:rsidRPr="00A447E9">
              <w:rPr>
                <w:rFonts w:ascii="Times New Roman" w:eastAsia="Times New Roman" w:hAnsi="Times New Roman"/>
                <w:sz w:val="20"/>
                <w:szCs w:val="20"/>
              </w:rPr>
              <w:t>Frequency of ongoing prenatal care</w:t>
            </w:r>
          </w:p>
        </w:tc>
        <w:tc>
          <w:tcPr>
            <w:tcW w:w="1219" w:type="dxa"/>
            <w:shd w:val="clear" w:color="auto" w:fill="D3DFEE"/>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HEDIS</w:t>
            </w:r>
          </w:p>
        </w:tc>
        <w:tc>
          <w:tcPr>
            <w:tcW w:w="886" w:type="dxa"/>
            <w:gridSpan w:val="2"/>
            <w:shd w:val="clear" w:color="auto" w:fill="D3DFEE"/>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1391</w:t>
            </w:r>
          </w:p>
        </w:tc>
      </w:tr>
      <w:tr w:rsidR="00C35BEA" w:rsidRPr="00D81026" w:rsidTr="00A447E9">
        <w:trPr>
          <w:gridAfter w:val="1"/>
          <w:wAfter w:w="12" w:type="dxa"/>
          <w:trHeight w:val="146"/>
        </w:trPr>
        <w:tc>
          <w:tcPr>
            <w:tcW w:w="7753" w:type="dxa"/>
            <w:gridSpan w:val="2"/>
            <w:shd w:val="clear" w:color="auto" w:fill="auto"/>
            <w:vAlign w:val="center"/>
          </w:tcPr>
          <w:p w:rsidR="00A447E9" w:rsidRPr="00A447E9" w:rsidRDefault="00A447E9" w:rsidP="008A301C">
            <w:pPr>
              <w:rPr>
                <w:rFonts w:ascii="Times New Roman" w:eastAsia="Times New Roman" w:hAnsi="Times New Roman"/>
                <w:sz w:val="20"/>
                <w:szCs w:val="20"/>
              </w:rPr>
            </w:pPr>
            <w:r w:rsidRPr="00A447E9">
              <w:rPr>
                <w:rFonts w:ascii="Times New Roman" w:eastAsia="Times New Roman" w:hAnsi="Times New Roman"/>
                <w:sz w:val="20"/>
                <w:szCs w:val="20"/>
              </w:rPr>
              <w:t>Prenatal and postpartum care</w:t>
            </w:r>
          </w:p>
        </w:tc>
        <w:tc>
          <w:tcPr>
            <w:tcW w:w="1219" w:type="dxa"/>
            <w:shd w:val="clear" w:color="auto" w:fill="auto"/>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HEDIS</w:t>
            </w:r>
          </w:p>
        </w:tc>
        <w:tc>
          <w:tcPr>
            <w:tcW w:w="886" w:type="dxa"/>
            <w:gridSpan w:val="2"/>
            <w:shd w:val="clear" w:color="auto" w:fill="auto"/>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1517</w:t>
            </w:r>
          </w:p>
        </w:tc>
      </w:tr>
      <w:tr w:rsidR="00A447E9" w:rsidRPr="00D81026" w:rsidTr="00A447E9">
        <w:trPr>
          <w:gridAfter w:val="1"/>
          <w:wAfter w:w="12" w:type="dxa"/>
          <w:trHeight w:val="146"/>
        </w:trPr>
        <w:tc>
          <w:tcPr>
            <w:tcW w:w="7753" w:type="dxa"/>
            <w:gridSpan w:val="2"/>
            <w:shd w:val="clear" w:color="auto" w:fill="D3DFEE"/>
            <w:vAlign w:val="center"/>
          </w:tcPr>
          <w:p w:rsidR="00A447E9" w:rsidRPr="00A447E9" w:rsidRDefault="00A447E9" w:rsidP="008A301C">
            <w:pPr>
              <w:rPr>
                <w:rFonts w:ascii="Times New Roman" w:eastAsia="Times New Roman" w:hAnsi="Times New Roman"/>
                <w:sz w:val="20"/>
                <w:szCs w:val="20"/>
              </w:rPr>
            </w:pPr>
            <w:r w:rsidRPr="00A447E9">
              <w:rPr>
                <w:rFonts w:ascii="Times New Roman" w:eastAsia="Times New Roman" w:hAnsi="Times New Roman"/>
                <w:sz w:val="20"/>
                <w:szCs w:val="20"/>
              </w:rPr>
              <w:t>Well-child visits in the first 15 months of life</w:t>
            </w:r>
          </w:p>
        </w:tc>
        <w:tc>
          <w:tcPr>
            <w:tcW w:w="1219" w:type="dxa"/>
            <w:shd w:val="clear" w:color="auto" w:fill="D3DFEE"/>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HEDIS</w:t>
            </w:r>
          </w:p>
        </w:tc>
        <w:tc>
          <w:tcPr>
            <w:tcW w:w="886" w:type="dxa"/>
            <w:gridSpan w:val="2"/>
            <w:shd w:val="clear" w:color="auto" w:fill="D3DFEE"/>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1392</w:t>
            </w:r>
          </w:p>
        </w:tc>
      </w:tr>
      <w:tr w:rsidR="00C35BEA" w:rsidRPr="00D81026" w:rsidTr="00A447E9">
        <w:trPr>
          <w:gridAfter w:val="1"/>
          <w:wAfter w:w="12" w:type="dxa"/>
          <w:trHeight w:val="146"/>
        </w:trPr>
        <w:tc>
          <w:tcPr>
            <w:tcW w:w="7753" w:type="dxa"/>
            <w:gridSpan w:val="2"/>
            <w:shd w:val="clear" w:color="auto" w:fill="auto"/>
            <w:vAlign w:val="center"/>
          </w:tcPr>
          <w:p w:rsidR="00A447E9" w:rsidRPr="00A447E9" w:rsidRDefault="00A447E9" w:rsidP="008A301C">
            <w:pPr>
              <w:rPr>
                <w:rFonts w:ascii="Times New Roman" w:eastAsia="Times New Roman" w:hAnsi="Times New Roman"/>
                <w:sz w:val="20"/>
                <w:szCs w:val="20"/>
              </w:rPr>
            </w:pPr>
            <w:r w:rsidRPr="00A447E9">
              <w:rPr>
                <w:rFonts w:ascii="Times New Roman" w:eastAsia="Times New Roman" w:hAnsi="Times New Roman"/>
                <w:sz w:val="20"/>
                <w:szCs w:val="20"/>
              </w:rPr>
              <w:t>Breast cancer screening</w:t>
            </w:r>
          </w:p>
        </w:tc>
        <w:tc>
          <w:tcPr>
            <w:tcW w:w="1219" w:type="dxa"/>
            <w:shd w:val="clear" w:color="auto" w:fill="auto"/>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HEDIS</w:t>
            </w:r>
          </w:p>
        </w:tc>
        <w:tc>
          <w:tcPr>
            <w:tcW w:w="886" w:type="dxa"/>
            <w:gridSpan w:val="2"/>
            <w:shd w:val="clear" w:color="auto" w:fill="auto"/>
            <w:vAlign w:val="center"/>
          </w:tcPr>
          <w:p w:rsidR="00A447E9" w:rsidRPr="00A447E9" w:rsidRDefault="00A447E9" w:rsidP="00A447E9">
            <w:pPr>
              <w:jc w:val="center"/>
              <w:rPr>
                <w:rFonts w:ascii="Times New Roman" w:eastAsia="Times New Roman" w:hAnsi="Times New Roman"/>
                <w:sz w:val="20"/>
                <w:szCs w:val="20"/>
              </w:rPr>
            </w:pPr>
          </w:p>
        </w:tc>
      </w:tr>
      <w:tr w:rsidR="00A447E9" w:rsidRPr="00D81026" w:rsidTr="00A447E9">
        <w:trPr>
          <w:gridAfter w:val="1"/>
          <w:wAfter w:w="12" w:type="dxa"/>
          <w:trHeight w:val="146"/>
        </w:trPr>
        <w:tc>
          <w:tcPr>
            <w:tcW w:w="7753" w:type="dxa"/>
            <w:gridSpan w:val="2"/>
            <w:shd w:val="clear" w:color="auto" w:fill="D3DFEE"/>
            <w:vAlign w:val="center"/>
          </w:tcPr>
          <w:p w:rsidR="00A447E9" w:rsidRPr="00A447E9" w:rsidRDefault="00A447E9" w:rsidP="008A301C">
            <w:pPr>
              <w:rPr>
                <w:rFonts w:ascii="Times New Roman" w:eastAsia="Times New Roman" w:hAnsi="Times New Roman"/>
                <w:sz w:val="20"/>
                <w:szCs w:val="20"/>
              </w:rPr>
            </w:pPr>
            <w:r w:rsidRPr="00A447E9">
              <w:rPr>
                <w:rFonts w:ascii="Times New Roman" w:eastAsia="Times New Roman" w:hAnsi="Times New Roman"/>
                <w:sz w:val="20"/>
                <w:szCs w:val="20"/>
              </w:rPr>
              <w:t>Colorectal cancer screening</w:t>
            </w:r>
          </w:p>
        </w:tc>
        <w:tc>
          <w:tcPr>
            <w:tcW w:w="1219" w:type="dxa"/>
            <w:shd w:val="clear" w:color="auto" w:fill="D3DFEE"/>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HEDIS</w:t>
            </w:r>
          </w:p>
        </w:tc>
        <w:tc>
          <w:tcPr>
            <w:tcW w:w="886" w:type="dxa"/>
            <w:gridSpan w:val="2"/>
            <w:shd w:val="clear" w:color="auto" w:fill="D3DFEE"/>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34</w:t>
            </w:r>
          </w:p>
        </w:tc>
      </w:tr>
      <w:tr w:rsidR="00C35BEA" w:rsidRPr="00D81026" w:rsidTr="00A447E9">
        <w:trPr>
          <w:gridAfter w:val="1"/>
          <w:wAfter w:w="12" w:type="dxa"/>
          <w:trHeight w:val="146"/>
        </w:trPr>
        <w:tc>
          <w:tcPr>
            <w:tcW w:w="7753" w:type="dxa"/>
            <w:gridSpan w:val="2"/>
            <w:shd w:val="clear" w:color="auto" w:fill="auto"/>
            <w:vAlign w:val="center"/>
          </w:tcPr>
          <w:p w:rsidR="00A447E9" w:rsidRPr="00A447E9" w:rsidRDefault="00A447E9" w:rsidP="008A301C">
            <w:pPr>
              <w:rPr>
                <w:rFonts w:ascii="Times New Roman" w:eastAsia="Times New Roman" w:hAnsi="Times New Roman"/>
                <w:sz w:val="20"/>
                <w:szCs w:val="20"/>
              </w:rPr>
            </w:pPr>
            <w:r w:rsidRPr="00A447E9">
              <w:rPr>
                <w:rFonts w:ascii="Times New Roman" w:eastAsia="Times New Roman" w:hAnsi="Times New Roman"/>
                <w:sz w:val="20"/>
                <w:szCs w:val="20"/>
              </w:rPr>
              <w:t>Cervical cancer screening</w:t>
            </w:r>
          </w:p>
        </w:tc>
        <w:tc>
          <w:tcPr>
            <w:tcW w:w="1219" w:type="dxa"/>
            <w:shd w:val="clear" w:color="auto" w:fill="auto"/>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HEDIS</w:t>
            </w:r>
          </w:p>
        </w:tc>
        <w:tc>
          <w:tcPr>
            <w:tcW w:w="886" w:type="dxa"/>
            <w:gridSpan w:val="2"/>
            <w:shd w:val="clear" w:color="auto" w:fill="auto"/>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32</w:t>
            </w:r>
          </w:p>
        </w:tc>
      </w:tr>
      <w:tr w:rsidR="00A447E9" w:rsidRPr="00D81026" w:rsidTr="00A447E9">
        <w:trPr>
          <w:gridAfter w:val="1"/>
          <w:wAfter w:w="12" w:type="dxa"/>
          <w:trHeight w:val="146"/>
        </w:trPr>
        <w:tc>
          <w:tcPr>
            <w:tcW w:w="7753" w:type="dxa"/>
            <w:gridSpan w:val="2"/>
            <w:shd w:val="clear" w:color="auto" w:fill="D3DFEE"/>
            <w:vAlign w:val="center"/>
          </w:tcPr>
          <w:p w:rsidR="00A447E9" w:rsidRPr="00A447E9" w:rsidRDefault="00A447E9" w:rsidP="008A301C">
            <w:pPr>
              <w:rPr>
                <w:rFonts w:ascii="Times New Roman" w:eastAsia="Times New Roman" w:hAnsi="Times New Roman"/>
                <w:sz w:val="20"/>
                <w:szCs w:val="20"/>
              </w:rPr>
            </w:pPr>
            <w:r w:rsidRPr="00A447E9">
              <w:rPr>
                <w:rFonts w:ascii="Times New Roman" w:eastAsia="Times New Roman" w:hAnsi="Times New Roman"/>
                <w:sz w:val="20"/>
                <w:szCs w:val="20"/>
              </w:rPr>
              <w:t>Chlamydia screening in women</w:t>
            </w:r>
          </w:p>
        </w:tc>
        <w:tc>
          <w:tcPr>
            <w:tcW w:w="1219" w:type="dxa"/>
            <w:shd w:val="clear" w:color="auto" w:fill="D3DFEE"/>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HEDIS</w:t>
            </w:r>
          </w:p>
        </w:tc>
        <w:tc>
          <w:tcPr>
            <w:tcW w:w="886" w:type="dxa"/>
            <w:gridSpan w:val="2"/>
            <w:shd w:val="clear" w:color="auto" w:fill="D3DFEE"/>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33</w:t>
            </w:r>
          </w:p>
        </w:tc>
      </w:tr>
      <w:tr w:rsidR="00C35BEA" w:rsidRPr="00D81026" w:rsidTr="00A447E9">
        <w:trPr>
          <w:gridAfter w:val="1"/>
          <w:wAfter w:w="12" w:type="dxa"/>
          <w:trHeight w:val="146"/>
        </w:trPr>
        <w:tc>
          <w:tcPr>
            <w:tcW w:w="7753" w:type="dxa"/>
            <w:gridSpan w:val="2"/>
            <w:shd w:val="clear" w:color="auto" w:fill="auto"/>
            <w:vAlign w:val="center"/>
          </w:tcPr>
          <w:p w:rsidR="00A447E9" w:rsidRPr="00A447E9" w:rsidRDefault="00A447E9" w:rsidP="008A301C">
            <w:pPr>
              <w:rPr>
                <w:rFonts w:ascii="Times New Roman" w:eastAsia="Times New Roman" w:hAnsi="Times New Roman"/>
                <w:sz w:val="20"/>
                <w:szCs w:val="20"/>
              </w:rPr>
            </w:pPr>
            <w:r w:rsidRPr="00A447E9">
              <w:rPr>
                <w:rFonts w:ascii="Times New Roman" w:eastAsia="Times New Roman" w:hAnsi="Times New Roman"/>
                <w:sz w:val="20"/>
                <w:szCs w:val="20"/>
              </w:rPr>
              <w:t>Adult BMI Assessment</w:t>
            </w:r>
          </w:p>
        </w:tc>
        <w:tc>
          <w:tcPr>
            <w:tcW w:w="1219" w:type="dxa"/>
            <w:shd w:val="clear" w:color="auto" w:fill="auto"/>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HEDIS</w:t>
            </w:r>
          </w:p>
        </w:tc>
        <w:tc>
          <w:tcPr>
            <w:tcW w:w="886" w:type="dxa"/>
            <w:gridSpan w:val="2"/>
            <w:shd w:val="clear" w:color="auto" w:fill="auto"/>
            <w:vAlign w:val="center"/>
          </w:tcPr>
          <w:p w:rsidR="00A447E9" w:rsidRPr="00A447E9" w:rsidRDefault="00A447E9" w:rsidP="00A447E9">
            <w:pPr>
              <w:jc w:val="center"/>
              <w:rPr>
                <w:rFonts w:ascii="Times New Roman" w:eastAsia="Times New Roman" w:hAnsi="Times New Roman"/>
                <w:sz w:val="20"/>
                <w:szCs w:val="20"/>
              </w:rPr>
            </w:pPr>
          </w:p>
        </w:tc>
      </w:tr>
      <w:tr w:rsidR="00A447E9" w:rsidRPr="00D81026" w:rsidTr="00A447E9">
        <w:trPr>
          <w:gridAfter w:val="1"/>
          <w:wAfter w:w="12" w:type="dxa"/>
          <w:trHeight w:val="146"/>
        </w:trPr>
        <w:tc>
          <w:tcPr>
            <w:tcW w:w="7753" w:type="dxa"/>
            <w:gridSpan w:val="2"/>
            <w:shd w:val="clear" w:color="auto" w:fill="D3DFEE"/>
            <w:vAlign w:val="center"/>
          </w:tcPr>
          <w:p w:rsidR="00A447E9" w:rsidRPr="00A447E9" w:rsidRDefault="00A447E9" w:rsidP="008A301C">
            <w:pPr>
              <w:rPr>
                <w:rFonts w:ascii="Times New Roman" w:eastAsia="Times New Roman" w:hAnsi="Times New Roman"/>
                <w:sz w:val="20"/>
                <w:szCs w:val="20"/>
              </w:rPr>
            </w:pPr>
            <w:r w:rsidRPr="00A447E9">
              <w:rPr>
                <w:rFonts w:ascii="Times New Roman" w:eastAsia="Times New Roman" w:hAnsi="Times New Roman"/>
                <w:sz w:val="20"/>
                <w:szCs w:val="20"/>
              </w:rPr>
              <w:t>Adults' access to preventive/ambulatory health services</w:t>
            </w:r>
          </w:p>
        </w:tc>
        <w:tc>
          <w:tcPr>
            <w:tcW w:w="1219" w:type="dxa"/>
            <w:shd w:val="clear" w:color="auto" w:fill="D3DFEE"/>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HEDIS</w:t>
            </w:r>
          </w:p>
        </w:tc>
        <w:tc>
          <w:tcPr>
            <w:tcW w:w="886" w:type="dxa"/>
            <w:gridSpan w:val="2"/>
            <w:shd w:val="clear" w:color="auto" w:fill="D3DFEE"/>
            <w:vAlign w:val="center"/>
          </w:tcPr>
          <w:p w:rsidR="00A447E9" w:rsidRPr="00A447E9" w:rsidRDefault="00A447E9" w:rsidP="00A447E9">
            <w:pPr>
              <w:jc w:val="center"/>
              <w:rPr>
                <w:rFonts w:ascii="Times New Roman" w:eastAsia="Times New Roman" w:hAnsi="Times New Roman"/>
                <w:sz w:val="20"/>
                <w:szCs w:val="20"/>
              </w:rPr>
            </w:pPr>
          </w:p>
        </w:tc>
      </w:tr>
      <w:tr w:rsidR="00C35BEA" w:rsidRPr="00D81026" w:rsidTr="00A447E9">
        <w:trPr>
          <w:gridAfter w:val="1"/>
          <w:wAfter w:w="12" w:type="dxa"/>
          <w:trHeight w:val="146"/>
        </w:trPr>
        <w:tc>
          <w:tcPr>
            <w:tcW w:w="7753" w:type="dxa"/>
            <w:gridSpan w:val="2"/>
            <w:shd w:val="clear" w:color="auto" w:fill="auto"/>
            <w:vAlign w:val="center"/>
          </w:tcPr>
          <w:p w:rsidR="00A447E9" w:rsidRPr="00A447E9" w:rsidRDefault="00A447E9" w:rsidP="008A301C">
            <w:pPr>
              <w:rPr>
                <w:rFonts w:ascii="Times New Roman" w:eastAsia="Times New Roman" w:hAnsi="Times New Roman"/>
                <w:sz w:val="20"/>
                <w:szCs w:val="20"/>
              </w:rPr>
            </w:pPr>
            <w:r w:rsidRPr="00A447E9">
              <w:rPr>
                <w:rFonts w:ascii="Times New Roman" w:eastAsia="Times New Roman" w:hAnsi="Times New Roman"/>
                <w:sz w:val="20"/>
                <w:szCs w:val="20"/>
              </w:rPr>
              <w:t>Flu shots for older adults</w:t>
            </w:r>
          </w:p>
        </w:tc>
        <w:tc>
          <w:tcPr>
            <w:tcW w:w="1219" w:type="dxa"/>
            <w:shd w:val="clear" w:color="auto" w:fill="auto"/>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HEDIS</w:t>
            </w:r>
          </w:p>
        </w:tc>
        <w:tc>
          <w:tcPr>
            <w:tcW w:w="886" w:type="dxa"/>
            <w:gridSpan w:val="2"/>
            <w:shd w:val="clear" w:color="auto" w:fill="auto"/>
            <w:vAlign w:val="center"/>
          </w:tcPr>
          <w:p w:rsidR="00A447E9" w:rsidRPr="00A447E9" w:rsidRDefault="00A447E9" w:rsidP="00A447E9">
            <w:pPr>
              <w:jc w:val="center"/>
              <w:rPr>
                <w:rFonts w:ascii="Times New Roman" w:eastAsia="Times New Roman" w:hAnsi="Times New Roman"/>
                <w:sz w:val="20"/>
                <w:szCs w:val="20"/>
              </w:rPr>
            </w:pPr>
          </w:p>
        </w:tc>
      </w:tr>
      <w:tr w:rsidR="00A447E9" w:rsidRPr="00D81026" w:rsidTr="00A447E9">
        <w:trPr>
          <w:gridAfter w:val="1"/>
          <w:wAfter w:w="12" w:type="dxa"/>
          <w:trHeight w:val="146"/>
        </w:trPr>
        <w:tc>
          <w:tcPr>
            <w:tcW w:w="7753" w:type="dxa"/>
            <w:gridSpan w:val="2"/>
            <w:shd w:val="clear" w:color="auto" w:fill="D3DFEE"/>
            <w:vAlign w:val="center"/>
          </w:tcPr>
          <w:p w:rsidR="00A447E9" w:rsidRPr="00A447E9" w:rsidRDefault="00A447E9" w:rsidP="008A301C">
            <w:pPr>
              <w:rPr>
                <w:rFonts w:ascii="Times New Roman" w:eastAsia="Times New Roman" w:hAnsi="Times New Roman"/>
                <w:sz w:val="20"/>
                <w:szCs w:val="20"/>
              </w:rPr>
            </w:pPr>
            <w:r w:rsidRPr="00A447E9">
              <w:rPr>
                <w:rFonts w:ascii="Times New Roman" w:eastAsia="Times New Roman" w:hAnsi="Times New Roman"/>
                <w:sz w:val="20"/>
                <w:szCs w:val="20"/>
              </w:rPr>
              <w:t>Pneumonia vaccination status for older adults</w:t>
            </w:r>
          </w:p>
        </w:tc>
        <w:tc>
          <w:tcPr>
            <w:tcW w:w="1219" w:type="dxa"/>
            <w:shd w:val="clear" w:color="auto" w:fill="D3DFEE"/>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HEDIS</w:t>
            </w:r>
          </w:p>
        </w:tc>
        <w:tc>
          <w:tcPr>
            <w:tcW w:w="886" w:type="dxa"/>
            <w:gridSpan w:val="2"/>
            <w:shd w:val="clear" w:color="auto" w:fill="D3DFEE"/>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43</w:t>
            </w:r>
          </w:p>
        </w:tc>
      </w:tr>
      <w:tr w:rsidR="00C35BEA" w:rsidRPr="00D81026" w:rsidTr="00A447E9">
        <w:trPr>
          <w:gridAfter w:val="1"/>
          <w:wAfter w:w="12" w:type="dxa"/>
          <w:trHeight w:val="146"/>
        </w:trPr>
        <w:tc>
          <w:tcPr>
            <w:tcW w:w="7753" w:type="dxa"/>
            <w:gridSpan w:val="2"/>
            <w:shd w:val="clear" w:color="auto" w:fill="auto"/>
            <w:vAlign w:val="center"/>
          </w:tcPr>
          <w:p w:rsidR="00A447E9" w:rsidRPr="00A447E9" w:rsidRDefault="00A447E9" w:rsidP="008A301C">
            <w:pPr>
              <w:rPr>
                <w:rFonts w:ascii="Times New Roman" w:eastAsia="Times New Roman" w:hAnsi="Times New Roman"/>
                <w:sz w:val="20"/>
                <w:szCs w:val="20"/>
              </w:rPr>
            </w:pPr>
            <w:r w:rsidRPr="00A447E9">
              <w:rPr>
                <w:rFonts w:ascii="Times New Roman" w:eastAsia="Times New Roman" w:hAnsi="Times New Roman"/>
                <w:sz w:val="20"/>
                <w:szCs w:val="20"/>
              </w:rPr>
              <w:t>Osteoporosis Testing in Older Women</w:t>
            </w:r>
          </w:p>
        </w:tc>
        <w:tc>
          <w:tcPr>
            <w:tcW w:w="1219" w:type="dxa"/>
            <w:shd w:val="clear" w:color="auto" w:fill="auto"/>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HEDIS</w:t>
            </w:r>
          </w:p>
        </w:tc>
        <w:tc>
          <w:tcPr>
            <w:tcW w:w="886" w:type="dxa"/>
            <w:gridSpan w:val="2"/>
            <w:shd w:val="clear" w:color="auto" w:fill="auto"/>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37</w:t>
            </w:r>
          </w:p>
        </w:tc>
      </w:tr>
      <w:tr w:rsidR="00A447E9" w:rsidRPr="00D81026" w:rsidTr="00A447E9">
        <w:trPr>
          <w:gridAfter w:val="1"/>
          <w:wAfter w:w="12" w:type="dxa"/>
          <w:trHeight w:val="146"/>
        </w:trPr>
        <w:tc>
          <w:tcPr>
            <w:tcW w:w="7753" w:type="dxa"/>
            <w:gridSpan w:val="2"/>
            <w:shd w:val="clear" w:color="auto" w:fill="D3DFEE"/>
            <w:vAlign w:val="center"/>
          </w:tcPr>
          <w:p w:rsidR="00A447E9" w:rsidRPr="00A447E9" w:rsidRDefault="00A447E9" w:rsidP="008A301C">
            <w:pPr>
              <w:rPr>
                <w:rFonts w:ascii="Times New Roman" w:eastAsia="Times New Roman" w:hAnsi="Times New Roman"/>
                <w:sz w:val="20"/>
                <w:szCs w:val="20"/>
              </w:rPr>
            </w:pPr>
            <w:r w:rsidRPr="00A447E9">
              <w:rPr>
                <w:rFonts w:ascii="Times New Roman" w:eastAsia="Times New Roman" w:hAnsi="Times New Roman"/>
                <w:sz w:val="20"/>
                <w:szCs w:val="20"/>
              </w:rPr>
              <w:t>Flu Shots for Adults Ages 50-64</w:t>
            </w:r>
          </w:p>
        </w:tc>
        <w:tc>
          <w:tcPr>
            <w:tcW w:w="1219" w:type="dxa"/>
            <w:shd w:val="clear" w:color="auto" w:fill="D3DFEE"/>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HEDIS</w:t>
            </w:r>
          </w:p>
        </w:tc>
        <w:tc>
          <w:tcPr>
            <w:tcW w:w="886" w:type="dxa"/>
            <w:gridSpan w:val="2"/>
            <w:shd w:val="clear" w:color="auto" w:fill="D3DFEE"/>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39</w:t>
            </w:r>
          </w:p>
        </w:tc>
      </w:tr>
      <w:tr w:rsidR="00C35BEA" w:rsidRPr="00D81026" w:rsidTr="00A447E9">
        <w:trPr>
          <w:gridAfter w:val="1"/>
          <w:wAfter w:w="12" w:type="dxa"/>
          <w:trHeight w:val="146"/>
        </w:trPr>
        <w:tc>
          <w:tcPr>
            <w:tcW w:w="7753" w:type="dxa"/>
            <w:gridSpan w:val="2"/>
            <w:shd w:val="clear" w:color="auto" w:fill="auto"/>
            <w:vAlign w:val="center"/>
          </w:tcPr>
          <w:p w:rsidR="00A447E9" w:rsidRPr="00A447E9" w:rsidRDefault="00A447E9" w:rsidP="008A301C">
            <w:pPr>
              <w:rPr>
                <w:rFonts w:ascii="Times New Roman" w:eastAsia="Times New Roman" w:hAnsi="Times New Roman"/>
                <w:sz w:val="20"/>
                <w:szCs w:val="20"/>
              </w:rPr>
            </w:pPr>
            <w:r w:rsidRPr="00A447E9">
              <w:rPr>
                <w:rFonts w:ascii="Times New Roman" w:eastAsia="Times New Roman" w:hAnsi="Times New Roman"/>
                <w:sz w:val="20"/>
                <w:szCs w:val="20"/>
              </w:rPr>
              <w:t>Annual dental visit</w:t>
            </w:r>
          </w:p>
        </w:tc>
        <w:tc>
          <w:tcPr>
            <w:tcW w:w="1219" w:type="dxa"/>
            <w:shd w:val="clear" w:color="auto" w:fill="auto"/>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HEDIS</w:t>
            </w:r>
          </w:p>
        </w:tc>
        <w:tc>
          <w:tcPr>
            <w:tcW w:w="886" w:type="dxa"/>
            <w:gridSpan w:val="2"/>
            <w:shd w:val="clear" w:color="auto" w:fill="auto"/>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1388</w:t>
            </w:r>
          </w:p>
        </w:tc>
      </w:tr>
      <w:tr w:rsidR="00A447E9" w:rsidRPr="00D81026" w:rsidTr="00A447E9">
        <w:trPr>
          <w:gridAfter w:val="1"/>
          <w:wAfter w:w="12" w:type="dxa"/>
          <w:trHeight w:val="146"/>
        </w:trPr>
        <w:tc>
          <w:tcPr>
            <w:tcW w:w="7753" w:type="dxa"/>
            <w:gridSpan w:val="2"/>
            <w:shd w:val="clear" w:color="auto" w:fill="D3DFEE"/>
            <w:vAlign w:val="center"/>
          </w:tcPr>
          <w:p w:rsidR="00A447E9" w:rsidRPr="00A447E9" w:rsidRDefault="00A447E9" w:rsidP="008A301C">
            <w:pPr>
              <w:rPr>
                <w:rFonts w:ascii="Times New Roman" w:eastAsia="Times New Roman" w:hAnsi="Times New Roman"/>
                <w:bCs/>
                <w:sz w:val="20"/>
                <w:szCs w:val="20"/>
              </w:rPr>
            </w:pPr>
            <w:r w:rsidRPr="00A447E9">
              <w:rPr>
                <w:rFonts w:ascii="Times New Roman" w:eastAsia="Times New Roman" w:hAnsi="Times New Roman"/>
                <w:bCs/>
                <w:sz w:val="20"/>
                <w:szCs w:val="20"/>
              </w:rPr>
              <w:t>Initiation and engagement of alcohol and other drug dependence treatment</w:t>
            </w:r>
          </w:p>
        </w:tc>
        <w:tc>
          <w:tcPr>
            <w:tcW w:w="1219" w:type="dxa"/>
            <w:shd w:val="clear" w:color="auto" w:fill="D3DFEE"/>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HEDIS</w:t>
            </w:r>
          </w:p>
        </w:tc>
        <w:tc>
          <w:tcPr>
            <w:tcW w:w="886" w:type="dxa"/>
            <w:gridSpan w:val="2"/>
            <w:shd w:val="clear" w:color="auto" w:fill="D3DFEE"/>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4</w:t>
            </w:r>
          </w:p>
        </w:tc>
      </w:tr>
      <w:tr w:rsidR="00C35BEA" w:rsidRPr="00D81026" w:rsidTr="00A447E9">
        <w:trPr>
          <w:gridAfter w:val="1"/>
          <w:wAfter w:w="12" w:type="dxa"/>
          <w:trHeight w:val="146"/>
        </w:trPr>
        <w:tc>
          <w:tcPr>
            <w:tcW w:w="7753" w:type="dxa"/>
            <w:gridSpan w:val="2"/>
            <w:shd w:val="clear" w:color="auto" w:fill="auto"/>
            <w:vAlign w:val="center"/>
          </w:tcPr>
          <w:p w:rsidR="00A447E9" w:rsidRPr="00A447E9" w:rsidRDefault="00A447E9" w:rsidP="008A301C">
            <w:pPr>
              <w:rPr>
                <w:rFonts w:ascii="Times New Roman" w:eastAsia="Times New Roman" w:hAnsi="Times New Roman"/>
                <w:bCs/>
                <w:sz w:val="20"/>
                <w:szCs w:val="20"/>
              </w:rPr>
            </w:pPr>
            <w:r w:rsidRPr="00A447E9">
              <w:rPr>
                <w:rFonts w:ascii="Times New Roman" w:eastAsia="Times New Roman" w:hAnsi="Times New Roman"/>
                <w:bCs/>
                <w:sz w:val="20"/>
                <w:szCs w:val="20"/>
              </w:rPr>
              <w:t>Medical Assistance With Smoking and Tobacco Use Cessation</w:t>
            </w:r>
          </w:p>
        </w:tc>
        <w:tc>
          <w:tcPr>
            <w:tcW w:w="1219" w:type="dxa"/>
            <w:shd w:val="clear" w:color="auto" w:fill="auto"/>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HEDIS</w:t>
            </w:r>
          </w:p>
        </w:tc>
        <w:tc>
          <w:tcPr>
            <w:tcW w:w="886" w:type="dxa"/>
            <w:gridSpan w:val="2"/>
            <w:shd w:val="clear" w:color="auto" w:fill="auto"/>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27</w:t>
            </w:r>
          </w:p>
        </w:tc>
      </w:tr>
      <w:tr w:rsidR="00A447E9" w:rsidRPr="00D81026" w:rsidTr="00A447E9">
        <w:trPr>
          <w:gridAfter w:val="1"/>
          <w:wAfter w:w="12" w:type="dxa"/>
          <w:trHeight w:val="146"/>
        </w:trPr>
        <w:tc>
          <w:tcPr>
            <w:tcW w:w="7753" w:type="dxa"/>
            <w:gridSpan w:val="2"/>
            <w:shd w:val="clear" w:color="auto" w:fill="D3DFEE"/>
            <w:vAlign w:val="center"/>
          </w:tcPr>
          <w:p w:rsidR="00A447E9" w:rsidRPr="00A447E9" w:rsidRDefault="00A447E9" w:rsidP="008A301C">
            <w:pPr>
              <w:rPr>
                <w:rFonts w:ascii="Times New Roman" w:eastAsia="Times New Roman" w:hAnsi="Times New Roman"/>
                <w:sz w:val="20"/>
                <w:szCs w:val="20"/>
              </w:rPr>
            </w:pPr>
            <w:r w:rsidRPr="00A447E9">
              <w:rPr>
                <w:rFonts w:ascii="Times New Roman" w:eastAsia="Times New Roman" w:hAnsi="Times New Roman"/>
                <w:sz w:val="20"/>
                <w:szCs w:val="20"/>
              </w:rPr>
              <w:lastRenderedPageBreak/>
              <w:t>Antidepressant medication management</w:t>
            </w:r>
          </w:p>
        </w:tc>
        <w:tc>
          <w:tcPr>
            <w:tcW w:w="1219" w:type="dxa"/>
            <w:shd w:val="clear" w:color="auto" w:fill="D3DFEE"/>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HEDIS</w:t>
            </w:r>
          </w:p>
        </w:tc>
        <w:tc>
          <w:tcPr>
            <w:tcW w:w="886" w:type="dxa"/>
            <w:gridSpan w:val="2"/>
            <w:shd w:val="clear" w:color="auto" w:fill="D3DFEE"/>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105</w:t>
            </w:r>
          </w:p>
        </w:tc>
      </w:tr>
      <w:tr w:rsidR="00C35BEA" w:rsidRPr="00D81026" w:rsidTr="00A447E9">
        <w:trPr>
          <w:gridAfter w:val="1"/>
          <w:wAfter w:w="12" w:type="dxa"/>
          <w:trHeight w:val="146"/>
        </w:trPr>
        <w:tc>
          <w:tcPr>
            <w:tcW w:w="7753" w:type="dxa"/>
            <w:gridSpan w:val="2"/>
            <w:shd w:val="clear" w:color="auto" w:fill="auto"/>
            <w:vAlign w:val="center"/>
          </w:tcPr>
          <w:p w:rsidR="00A447E9" w:rsidRPr="00A447E9" w:rsidRDefault="00A447E9" w:rsidP="008A301C">
            <w:pPr>
              <w:rPr>
                <w:rFonts w:ascii="Times New Roman" w:eastAsia="Times New Roman" w:hAnsi="Times New Roman"/>
                <w:sz w:val="20"/>
                <w:szCs w:val="20"/>
              </w:rPr>
            </w:pPr>
            <w:r w:rsidRPr="00A447E9">
              <w:rPr>
                <w:rFonts w:ascii="Times New Roman" w:eastAsia="Times New Roman" w:hAnsi="Times New Roman"/>
                <w:sz w:val="20"/>
                <w:szCs w:val="20"/>
              </w:rPr>
              <w:t>Follow-up after hospitalization for mental illness</w:t>
            </w:r>
          </w:p>
        </w:tc>
        <w:tc>
          <w:tcPr>
            <w:tcW w:w="1219" w:type="dxa"/>
            <w:shd w:val="clear" w:color="auto" w:fill="auto"/>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HEDIS</w:t>
            </w:r>
          </w:p>
        </w:tc>
        <w:tc>
          <w:tcPr>
            <w:tcW w:w="886" w:type="dxa"/>
            <w:gridSpan w:val="2"/>
            <w:shd w:val="clear" w:color="auto" w:fill="auto"/>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576</w:t>
            </w:r>
          </w:p>
        </w:tc>
      </w:tr>
      <w:tr w:rsidR="00A447E9" w:rsidRPr="00D81026" w:rsidTr="00A447E9">
        <w:trPr>
          <w:gridAfter w:val="1"/>
          <w:wAfter w:w="12" w:type="dxa"/>
          <w:trHeight w:val="146"/>
        </w:trPr>
        <w:tc>
          <w:tcPr>
            <w:tcW w:w="7753" w:type="dxa"/>
            <w:gridSpan w:val="2"/>
            <w:shd w:val="clear" w:color="auto" w:fill="D3DFEE"/>
            <w:vAlign w:val="center"/>
          </w:tcPr>
          <w:p w:rsidR="00A447E9" w:rsidRPr="00A447E9" w:rsidRDefault="00A447E9" w:rsidP="008A301C">
            <w:pPr>
              <w:rPr>
                <w:rFonts w:ascii="Times New Roman" w:eastAsia="Times New Roman" w:hAnsi="Times New Roman"/>
                <w:sz w:val="20"/>
                <w:szCs w:val="20"/>
              </w:rPr>
            </w:pPr>
            <w:r w:rsidRPr="00A447E9">
              <w:rPr>
                <w:rFonts w:ascii="Times New Roman" w:eastAsia="Times New Roman" w:hAnsi="Times New Roman"/>
                <w:sz w:val="20"/>
                <w:szCs w:val="20"/>
              </w:rPr>
              <w:t>Adherence to Antipsychotics for Individuals with Schizophrenia</w:t>
            </w:r>
          </w:p>
        </w:tc>
        <w:tc>
          <w:tcPr>
            <w:tcW w:w="1219" w:type="dxa"/>
            <w:shd w:val="clear" w:color="auto" w:fill="D3DFEE"/>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HEDIS</w:t>
            </w:r>
          </w:p>
        </w:tc>
        <w:tc>
          <w:tcPr>
            <w:tcW w:w="886" w:type="dxa"/>
            <w:gridSpan w:val="2"/>
            <w:shd w:val="clear" w:color="auto" w:fill="D3DFEE"/>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1879</w:t>
            </w:r>
          </w:p>
        </w:tc>
      </w:tr>
      <w:tr w:rsidR="00C35BEA" w:rsidRPr="00D81026" w:rsidTr="00A447E9">
        <w:trPr>
          <w:gridAfter w:val="1"/>
          <w:wAfter w:w="12" w:type="dxa"/>
          <w:trHeight w:val="146"/>
        </w:trPr>
        <w:tc>
          <w:tcPr>
            <w:tcW w:w="7753" w:type="dxa"/>
            <w:gridSpan w:val="2"/>
            <w:shd w:val="clear" w:color="auto" w:fill="auto"/>
            <w:vAlign w:val="center"/>
          </w:tcPr>
          <w:p w:rsidR="00A447E9" w:rsidRPr="00A447E9" w:rsidRDefault="00A447E9" w:rsidP="008A301C">
            <w:pPr>
              <w:rPr>
                <w:rFonts w:ascii="Times New Roman" w:eastAsia="Times New Roman" w:hAnsi="Times New Roman"/>
                <w:sz w:val="20"/>
                <w:szCs w:val="20"/>
              </w:rPr>
            </w:pPr>
            <w:r w:rsidRPr="00A447E9">
              <w:rPr>
                <w:rFonts w:ascii="Times New Roman" w:eastAsia="Times New Roman" w:hAnsi="Times New Roman"/>
                <w:sz w:val="20"/>
                <w:szCs w:val="20"/>
              </w:rPr>
              <w:t>Diabetes Screening for People with Schizophrenia or Bipolar Disorder Who are Using Antipsychotic Medications</w:t>
            </w:r>
          </w:p>
        </w:tc>
        <w:tc>
          <w:tcPr>
            <w:tcW w:w="1219" w:type="dxa"/>
            <w:shd w:val="clear" w:color="auto" w:fill="auto"/>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HEDIS</w:t>
            </w:r>
          </w:p>
        </w:tc>
        <w:tc>
          <w:tcPr>
            <w:tcW w:w="886" w:type="dxa"/>
            <w:gridSpan w:val="2"/>
            <w:shd w:val="clear" w:color="auto" w:fill="auto"/>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1932</w:t>
            </w:r>
          </w:p>
        </w:tc>
      </w:tr>
      <w:tr w:rsidR="00A447E9" w:rsidRPr="00D81026" w:rsidTr="00A447E9">
        <w:trPr>
          <w:gridAfter w:val="1"/>
          <w:wAfter w:w="12" w:type="dxa"/>
          <w:trHeight w:val="146"/>
        </w:trPr>
        <w:tc>
          <w:tcPr>
            <w:tcW w:w="7753" w:type="dxa"/>
            <w:gridSpan w:val="2"/>
            <w:shd w:val="clear" w:color="auto" w:fill="D3DFEE"/>
            <w:vAlign w:val="center"/>
          </w:tcPr>
          <w:p w:rsidR="00A447E9" w:rsidRPr="00A447E9" w:rsidRDefault="00A447E9" w:rsidP="008A301C">
            <w:pPr>
              <w:rPr>
                <w:rFonts w:ascii="Times New Roman" w:eastAsia="Times New Roman" w:hAnsi="Times New Roman"/>
                <w:sz w:val="20"/>
                <w:szCs w:val="20"/>
              </w:rPr>
            </w:pPr>
            <w:r w:rsidRPr="00A447E9">
              <w:rPr>
                <w:rFonts w:ascii="Times New Roman" w:eastAsia="Times New Roman" w:hAnsi="Times New Roman"/>
                <w:sz w:val="20"/>
                <w:szCs w:val="20"/>
              </w:rPr>
              <w:t>Diabetes Monitoring for People with Diabetes and Schizophrenia</w:t>
            </w:r>
          </w:p>
        </w:tc>
        <w:tc>
          <w:tcPr>
            <w:tcW w:w="1219" w:type="dxa"/>
            <w:shd w:val="clear" w:color="auto" w:fill="D3DFEE"/>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HEDIS</w:t>
            </w:r>
          </w:p>
        </w:tc>
        <w:tc>
          <w:tcPr>
            <w:tcW w:w="886" w:type="dxa"/>
            <w:gridSpan w:val="2"/>
            <w:shd w:val="clear" w:color="auto" w:fill="D3DFEE"/>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1934</w:t>
            </w:r>
          </w:p>
        </w:tc>
      </w:tr>
      <w:tr w:rsidR="00C35BEA" w:rsidRPr="00D81026" w:rsidTr="00A447E9">
        <w:trPr>
          <w:gridAfter w:val="1"/>
          <w:wAfter w:w="12" w:type="dxa"/>
          <w:trHeight w:val="146"/>
        </w:trPr>
        <w:tc>
          <w:tcPr>
            <w:tcW w:w="7753" w:type="dxa"/>
            <w:gridSpan w:val="2"/>
            <w:shd w:val="clear" w:color="auto" w:fill="auto"/>
            <w:vAlign w:val="center"/>
          </w:tcPr>
          <w:p w:rsidR="00A447E9" w:rsidRPr="00A447E9" w:rsidRDefault="00A447E9" w:rsidP="008A301C">
            <w:pPr>
              <w:rPr>
                <w:rFonts w:ascii="Times New Roman" w:eastAsia="Times New Roman" w:hAnsi="Times New Roman"/>
                <w:sz w:val="20"/>
                <w:szCs w:val="20"/>
              </w:rPr>
            </w:pPr>
            <w:r w:rsidRPr="00A447E9">
              <w:rPr>
                <w:rFonts w:ascii="Times New Roman" w:eastAsia="Times New Roman" w:hAnsi="Times New Roman"/>
                <w:sz w:val="20"/>
                <w:szCs w:val="20"/>
              </w:rPr>
              <w:t>Cardiovascular Monitoring for People with Cardiovascular Disease and Schizophrenia</w:t>
            </w:r>
          </w:p>
        </w:tc>
        <w:tc>
          <w:tcPr>
            <w:tcW w:w="1219" w:type="dxa"/>
            <w:shd w:val="clear" w:color="auto" w:fill="auto"/>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HEDIS</w:t>
            </w:r>
          </w:p>
        </w:tc>
        <w:tc>
          <w:tcPr>
            <w:tcW w:w="886" w:type="dxa"/>
            <w:gridSpan w:val="2"/>
            <w:shd w:val="clear" w:color="auto" w:fill="auto"/>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1933</w:t>
            </w:r>
          </w:p>
        </w:tc>
      </w:tr>
      <w:tr w:rsidR="00A447E9" w:rsidRPr="00D81026" w:rsidTr="00A447E9">
        <w:trPr>
          <w:gridAfter w:val="1"/>
          <w:wAfter w:w="12" w:type="dxa"/>
          <w:trHeight w:val="146"/>
        </w:trPr>
        <w:tc>
          <w:tcPr>
            <w:tcW w:w="7753" w:type="dxa"/>
            <w:gridSpan w:val="2"/>
            <w:shd w:val="clear" w:color="auto" w:fill="D3DFEE"/>
            <w:vAlign w:val="center"/>
          </w:tcPr>
          <w:p w:rsidR="00A447E9" w:rsidRPr="00A447E9" w:rsidRDefault="00A447E9" w:rsidP="008A301C">
            <w:pPr>
              <w:rPr>
                <w:rFonts w:ascii="Times New Roman" w:eastAsia="Times New Roman" w:hAnsi="Times New Roman"/>
                <w:sz w:val="20"/>
                <w:szCs w:val="20"/>
              </w:rPr>
            </w:pPr>
            <w:r w:rsidRPr="00A447E9">
              <w:rPr>
                <w:rFonts w:ascii="Times New Roman" w:eastAsia="Times New Roman" w:hAnsi="Times New Roman"/>
                <w:sz w:val="20"/>
                <w:szCs w:val="20"/>
              </w:rPr>
              <w:t>Asthma in younger adults (PQI 15)</w:t>
            </w:r>
          </w:p>
        </w:tc>
        <w:tc>
          <w:tcPr>
            <w:tcW w:w="1219" w:type="dxa"/>
            <w:shd w:val="clear" w:color="auto" w:fill="D3DFEE"/>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PQI</w:t>
            </w:r>
          </w:p>
        </w:tc>
        <w:tc>
          <w:tcPr>
            <w:tcW w:w="886" w:type="dxa"/>
            <w:gridSpan w:val="2"/>
            <w:shd w:val="clear" w:color="auto" w:fill="D3DFEE"/>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283</w:t>
            </w:r>
          </w:p>
        </w:tc>
      </w:tr>
      <w:tr w:rsidR="00C35BEA" w:rsidRPr="00D81026" w:rsidTr="00A447E9">
        <w:trPr>
          <w:gridAfter w:val="1"/>
          <w:wAfter w:w="12" w:type="dxa"/>
          <w:trHeight w:val="146"/>
        </w:trPr>
        <w:tc>
          <w:tcPr>
            <w:tcW w:w="7753" w:type="dxa"/>
            <w:gridSpan w:val="2"/>
            <w:shd w:val="clear" w:color="auto" w:fill="auto"/>
            <w:vAlign w:val="center"/>
          </w:tcPr>
          <w:p w:rsidR="00A447E9" w:rsidRPr="00A447E9" w:rsidRDefault="00A447E9" w:rsidP="008A301C">
            <w:pPr>
              <w:rPr>
                <w:rFonts w:ascii="Times New Roman" w:eastAsia="Times New Roman" w:hAnsi="Times New Roman"/>
                <w:sz w:val="20"/>
                <w:szCs w:val="20"/>
              </w:rPr>
            </w:pPr>
            <w:r w:rsidRPr="00A447E9">
              <w:rPr>
                <w:rFonts w:ascii="Times New Roman" w:eastAsia="Times New Roman" w:hAnsi="Times New Roman"/>
                <w:sz w:val="20"/>
                <w:szCs w:val="20"/>
              </w:rPr>
              <w:t>Chronic obstructive pulmonary disease (PQI 5)</w:t>
            </w:r>
          </w:p>
        </w:tc>
        <w:tc>
          <w:tcPr>
            <w:tcW w:w="1219" w:type="dxa"/>
            <w:shd w:val="clear" w:color="auto" w:fill="auto"/>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PQI</w:t>
            </w:r>
          </w:p>
        </w:tc>
        <w:tc>
          <w:tcPr>
            <w:tcW w:w="886" w:type="dxa"/>
            <w:gridSpan w:val="2"/>
            <w:shd w:val="clear" w:color="auto" w:fill="auto"/>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275</w:t>
            </w:r>
          </w:p>
        </w:tc>
      </w:tr>
      <w:tr w:rsidR="00A447E9" w:rsidRPr="00D81026" w:rsidTr="00A447E9">
        <w:trPr>
          <w:gridAfter w:val="1"/>
          <w:wAfter w:w="12" w:type="dxa"/>
          <w:trHeight w:val="146"/>
        </w:trPr>
        <w:tc>
          <w:tcPr>
            <w:tcW w:w="7753" w:type="dxa"/>
            <w:gridSpan w:val="2"/>
            <w:shd w:val="clear" w:color="auto" w:fill="D3DFEE"/>
            <w:vAlign w:val="center"/>
          </w:tcPr>
          <w:p w:rsidR="00A447E9" w:rsidRPr="00A447E9" w:rsidRDefault="00A447E9" w:rsidP="008A301C">
            <w:pPr>
              <w:rPr>
                <w:rFonts w:ascii="Times New Roman" w:eastAsia="Times New Roman" w:hAnsi="Times New Roman"/>
                <w:sz w:val="20"/>
                <w:szCs w:val="20"/>
              </w:rPr>
            </w:pPr>
            <w:r w:rsidRPr="00A447E9">
              <w:rPr>
                <w:rFonts w:ascii="Times New Roman" w:eastAsia="Times New Roman" w:hAnsi="Times New Roman"/>
                <w:sz w:val="20"/>
                <w:szCs w:val="20"/>
              </w:rPr>
              <w:t>Congestive Heart Failure Admission Rate (PQI 8)</w:t>
            </w:r>
          </w:p>
        </w:tc>
        <w:tc>
          <w:tcPr>
            <w:tcW w:w="1219" w:type="dxa"/>
            <w:shd w:val="clear" w:color="auto" w:fill="D3DFEE"/>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PQI</w:t>
            </w:r>
          </w:p>
        </w:tc>
        <w:tc>
          <w:tcPr>
            <w:tcW w:w="886" w:type="dxa"/>
            <w:gridSpan w:val="2"/>
            <w:shd w:val="clear" w:color="auto" w:fill="D3DFEE"/>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277</w:t>
            </w:r>
          </w:p>
        </w:tc>
      </w:tr>
      <w:tr w:rsidR="00C35BEA" w:rsidRPr="00D81026" w:rsidTr="00A447E9">
        <w:trPr>
          <w:gridAfter w:val="1"/>
          <w:wAfter w:w="12" w:type="dxa"/>
          <w:trHeight w:val="146"/>
        </w:trPr>
        <w:tc>
          <w:tcPr>
            <w:tcW w:w="7753" w:type="dxa"/>
            <w:gridSpan w:val="2"/>
            <w:shd w:val="clear" w:color="auto" w:fill="auto"/>
            <w:vAlign w:val="center"/>
          </w:tcPr>
          <w:p w:rsidR="00A447E9" w:rsidRPr="00A447E9" w:rsidRDefault="00A447E9" w:rsidP="008A301C">
            <w:pPr>
              <w:rPr>
                <w:rFonts w:ascii="Times New Roman" w:eastAsia="Times New Roman" w:hAnsi="Times New Roman"/>
                <w:sz w:val="20"/>
                <w:szCs w:val="20"/>
              </w:rPr>
            </w:pPr>
            <w:r w:rsidRPr="00A447E9">
              <w:rPr>
                <w:rFonts w:ascii="Times New Roman" w:eastAsia="Times New Roman" w:hAnsi="Times New Roman"/>
                <w:sz w:val="20"/>
                <w:szCs w:val="20"/>
              </w:rPr>
              <w:t>Diabetes Short-Term Complications Admission Rate (PQI 1)</w:t>
            </w:r>
          </w:p>
        </w:tc>
        <w:tc>
          <w:tcPr>
            <w:tcW w:w="1219" w:type="dxa"/>
            <w:shd w:val="clear" w:color="auto" w:fill="auto"/>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PQI</w:t>
            </w:r>
          </w:p>
        </w:tc>
        <w:tc>
          <w:tcPr>
            <w:tcW w:w="886" w:type="dxa"/>
            <w:gridSpan w:val="2"/>
            <w:shd w:val="clear" w:color="auto" w:fill="auto"/>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272</w:t>
            </w:r>
          </w:p>
        </w:tc>
      </w:tr>
      <w:tr w:rsidR="00A447E9" w:rsidRPr="00D81026" w:rsidTr="00A447E9">
        <w:trPr>
          <w:gridAfter w:val="1"/>
          <w:wAfter w:w="12" w:type="dxa"/>
          <w:trHeight w:val="146"/>
        </w:trPr>
        <w:tc>
          <w:tcPr>
            <w:tcW w:w="7753" w:type="dxa"/>
            <w:gridSpan w:val="2"/>
            <w:shd w:val="clear" w:color="auto" w:fill="D3DFEE"/>
            <w:vAlign w:val="center"/>
          </w:tcPr>
          <w:p w:rsidR="00A447E9" w:rsidRPr="00A447E9" w:rsidRDefault="00A447E9" w:rsidP="008A301C">
            <w:pPr>
              <w:rPr>
                <w:rFonts w:ascii="Times New Roman" w:eastAsia="Times New Roman" w:hAnsi="Times New Roman"/>
                <w:sz w:val="20"/>
                <w:szCs w:val="20"/>
              </w:rPr>
            </w:pPr>
            <w:r w:rsidRPr="00A447E9">
              <w:rPr>
                <w:rFonts w:ascii="Times New Roman" w:eastAsia="Times New Roman" w:hAnsi="Times New Roman"/>
                <w:sz w:val="20"/>
                <w:szCs w:val="20"/>
              </w:rPr>
              <w:t>Low Birth Weight Rate (PQI 9)</w:t>
            </w:r>
          </w:p>
        </w:tc>
        <w:tc>
          <w:tcPr>
            <w:tcW w:w="1219" w:type="dxa"/>
            <w:shd w:val="clear" w:color="auto" w:fill="D3DFEE"/>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PQI</w:t>
            </w:r>
          </w:p>
        </w:tc>
        <w:tc>
          <w:tcPr>
            <w:tcW w:w="886" w:type="dxa"/>
            <w:gridSpan w:val="2"/>
            <w:shd w:val="clear" w:color="auto" w:fill="D3DFEE"/>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278</w:t>
            </w:r>
          </w:p>
        </w:tc>
      </w:tr>
      <w:tr w:rsidR="00C35BEA" w:rsidRPr="00D81026" w:rsidTr="00A447E9">
        <w:trPr>
          <w:gridAfter w:val="1"/>
          <w:wAfter w:w="12" w:type="dxa"/>
          <w:trHeight w:val="146"/>
        </w:trPr>
        <w:tc>
          <w:tcPr>
            <w:tcW w:w="7753" w:type="dxa"/>
            <w:gridSpan w:val="2"/>
            <w:shd w:val="clear" w:color="auto" w:fill="auto"/>
            <w:vAlign w:val="center"/>
          </w:tcPr>
          <w:p w:rsidR="00A447E9" w:rsidRPr="00A447E9" w:rsidRDefault="00A447E9" w:rsidP="008A301C">
            <w:pPr>
              <w:rPr>
                <w:rFonts w:ascii="Times New Roman" w:eastAsia="Times New Roman" w:hAnsi="Times New Roman"/>
                <w:sz w:val="20"/>
                <w:szCs w:val="20"/>
              </w:rPr>
            </w:pPr>
            <w:r w:rsidRPr="00A447E9">
              <w:rPr>
                <w:rFonts w:ascii="Times New Roman" w:eastAsia="Times New Roman" w:hAnsi="Times New Roman"/>
                <w:sz w:val="20"/>
                <w:szCs w:val="20"/>
              </w:rPr>
              <w:t>Screening for Clinical Depression</w:t>
            </w:r>
          </w:p>
        </w:tc>
        <w:tc>
          <w:tcPr>
            <w:tcW w:w="1219" w:type="dxa"/>
            <w:shd w:val="clear" w:color="auto" w:fill="auto"/>
            <w:vAlign w:val="center"/>
          </w:tcPr>
          <w:p w:rsidR="00A447E9" w:rsidRPr="00A447E9" w:rsidRDefault="00A447E9" w:rsidP="00A447E9">
            <w:pPr>
              <w:jc w:val="center"/>
              <w:rPr>
                <w:rFonts w:ascii="Times New Roman" w:eastAsia="Times New Roman" w:hAnsi="Times New Roman"/>
                <w:sz w:val="20"/>
                <w:szCs w:val="20"/>
              </w:rPr>
            </w:pPr>
          </w:p>
        </w:tc>
        <w:tc>
          <w:tcPr>
            <w:tcW w:w="886" w:type="dxa"/>
            <w:gridSpan w:val="2"/>
            <w:shd w:val="clear" w:color="auto" w:fill="auto"/>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418</w:t>
            </w:r>
          </w:p>
        </w:tc>
      </w:tr>
      <w:tr w:rsidR="00A447E9" w:rsidRPr="00D81026" w:rsidTr="00A447E9">
        <w:trPr>
          <w:gridAfter w:val="1"/>
          <w:wAfter w:w="12" w:type="dxa"/>
          <w:trHeight w:val="146"/>
        </w:trPr>
        <w:tc>
          <w:tcPr>
            <w:tcW w:w="7753" w:type="dxa"/>
            <w:gridSpan w:val="2"/>
            <w:shd w:val="clear" w:color="auto" w:fill="D3DFEE"/>
            <w:vAlign w:val="center"/>
          </w:tcPr>
          <w:p w:rsidR="00A447E9" w:rsidRPr="00A447E9" w:rsidRDefault="00A447E9" w:rsidP="008A301C">
            <w:pPr>
              <w:rPr>
                <w:rFonts w:ascii="Times New Roman" w:eastAsia="Times New Roman" w:hAnsi="Times New Roman"/>
                <w:bCs/>
                <w:sz w:val="20"/>
                <w:szCs w:val="20"/>
              </w:rPr>
            </w:pPr>
            <w:r w:rsidRPr="00A447E9">
              <w:rPr>
                <w:rFonts w:ascii="Times New Roman" w:eastAsia="Times New Roman" w:hAnsi="Times New Roman"/>
                <w:bCs/>
                <w:sz w:val="20"/>
                <w:szCs w:val="20"/>
              </w:rPr>
              <w:t>Measure pair: a. Tobacco Use Assessment, b. Tobacco Cessation Intervention</w:t>
            </w:r>
          </w:p>
        </w:tc>
        <w:tc>
          <w:tcPr>
            <w:tcW w:w="1219" w:type="dxa"/>
            <w:shd w:val="clear" w:color="auto" w:fill="D3DFEE"/>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AMA-PCPI</w:t>
            </w:r>
          </w:p>
        </w:tc>
        <w:tc>
          <w:tcPr>
            <w:tcW w:w="886" w:type="dxa"/>
            <w:gridSpan w:val="2"/>
            <w:shd w:val="clear" w:color="auto" w:fill="D3DFEE"/>
            <w:vAlign w:val="center"/>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28</w:t>
            </w:r>
          </w:p>
        </w:tc>
      </w:tr>
      <w:tr w:rsidR="00C35BEA" w:rsidRPr="00D81026" w:rsidTr="00A447E9">
        <w:trPr>
          <w:gridAfter w:val="1"/>
          <w:wAfter w:w="12" w:type="dxa"/>
          <w:trHeight w:val="146"/>
        </w:trPr>
        <w:tc>
          <w:tcPr>
            <w:tcW w:w="7753" w:type="dxa"/>
            <w:gridSpan w:val="2"/>
            <w:shd w:val="clear" w:color="auto" w:fill="auto"/>
            <w:vAlign w:val="center"/>
          </w:tcPr>
          <w:p w:rsidR="00A447E9" w:rsidRPr="00A447E9" w:rsidRDefault="00A447E9" w:rsidP="008A301C">
            <w:pPr>
              <w:rPr>
                <w:rFonts w:ascii="Times New Roman" w:eastAsia="Times New Roman" w:hAnsi="Times New Roman"/>
                <w:bCs/>
                <w:sz w:val="20"/>
                <w:szCs w:val="20"/>
              </w:rPr>
            </w:pPr>
            <w:r w:rsidRPr="00A447E9">
              <w:rPr>
                <w:rFonts w:ascii="Times New Roman" w:eastAsia="Times New Roman" w:hAnsi="Times New Roman"/>
                <w:bCs/>
                <w:sz w:val="20"/>
                <w:szCs w:val="20"/>
              </w:rPr>
              <w:t>Unhealthy Alcohol Use: Screening &amp; Brief Counseling</w:t>
            </w:r>
          </w:p>
        </w:tc>
        <w:tc>
          <w:tcPr>
            <w:tcW w:w="1219" w:type="dxa"/>
            <w:shd w:val="clear" w:color="auto" w:fill="auto"/>
            <w:vAlign w:val="center"/>
          </w:tcPr>
          <w:p w:rsidR="00A447E9" w:rsidRPr="00A447E9" w:rsidRDefault="004B76E8"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AMA-PCPI</w:t>
            </w:r>
          </w:p>
        </w:tc>
        <w:tc>
          <w:tcPr>
            <w:tcW w:w="886" w:type="dxa"/>
            <w:gridSpan w:val="2"/>
            <w:shd w:val="clear" w:color="auto" w:fill="auto"/>
            <w:vAlign w:val="center"/>
          </w:tcPr>
          <w:p w:rsidR="00A447E9" w:rsidRPr="00A447E9" w:rsidRDefault="004B76E8" w:rsidP="00A447E9">
            <w:pPr>
              <w:jc w:val="center"/>
              <w:rPr>
                <w:rFonts w:ascii="Times New Roman" w:eastAsia="Times New Roman" w:hAnsi="Times New Roman"/>
                <w:sz w:val="20"/>
                <w:szCs w:val="20"/>
              </w:rPr>
            </w:pPr>
            <w:r>
              <w:rPr>
                <w:rFonts w:ascii="Times New Roman" w:eastAsia="Times New Roman" w:hAnsi="Times New Roman"/>
                <w:sz w:val="20"/>
                <w:szCs w:val="20"/>
              </w:rPr>
              <w:t>2152</w:t>
            </w:r>
          </w:p>
        </w:tc>
      </w:tr>
      <w:tr w:rsidR="00A447E9" w:rsidRPr="00D81026" w:rsidTr="00A447E9">
        <w:trPr>
          <w:gridAfter w:val="1"/>
          <w:wAfter w:w="12" w:type="dxa"/>
          <w:trHeight w:val="146"/>
        </w:trPr>
        <w:tc>
          <w:tcPr>
            <w:tcW w:w="7753" w:type="dxa"/>
            <w:gridSpan w:val="2"/>
            <w:shd w:val="clear" w:color="auto" w:fill="D3DFEE"/>
            <w:vAlign w:val="center"/>
          </w:tcPr>
          <w:p w:rsidR="00A447E9" w:rsidRPr="00A447E9" w:rsidRDefault="00A447E9" w:rsidP="008A301C">
            <w:pPr>
              <w:rPr>
                <w:rFonts w:ascii="Times New Roman" w:eastAsia="Times New Roman" w:hAnsi="Times New Roman"/>
                <w:bCs/>
                <w:sz w:val="20"/>
                <w:szCs w:val="20"/>
              </w:rPr>
            </w:pPr>
            <w:r w:rsidRPr="00A447E9">
              <w:rPr>
                <w:rFonts w:ascii="Times New Roman" w:eastAsia="Times New Roman" w:hAnsi="Times New Roman"/>
                <w:bCs/>
                <w:sz w:val="20"/>
                <w:szCs w:val="20"/>
              </w:rPr>
              <w:t>Asthma Emergency Department Visits</w:t>
            </w:r>
          </w:p>
        </w:tc>
        <w:tc>
          <w:tcPr>
            <w:tcW w:w="1219" w:type="dxa"/>
            <w:shd w:val="clear" w:color="auto" w:fill="D3DFEE"/>
            <w:vAlign w:val="center"/>
          </w:tcPr>
          <w:p w:rsidR="00A447E9" w:rsidRPr="00A447E9" w:rsidRDefault="00A447E9" w:rsidP="008A301C">
            <w:pPr>
              <w:rPr>
                <w:rFonts w:ascii="Times New Roman" w:eastAsia="Times New Roman" w:hAnsi="Times New Roman"/>
                <w:sz w:val="20"/>
                <w:szCs w:val="20"/>
              </w:rPr>
            </w:pPr>
          </w:p>
        </w:tc>
        <w:tc>
          <w:tcPr>
            <w:tcW w:w="886" w:type="dxa"/>
            <w:gridSpan w:val="2"/>
            <w:shd w:val="clear" w:color="auto" w:fill="D3DFEE"/>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1381</w:t>
            </w:r>
          </w:p>
        </w:tc>
      </w:tr>
      <w:tr w:rsidR="004B76E8" w:rsidRPr="00D81026" w:rsidTr="005913E0">
        <w:tblPrEx>
          <w:tblLook w:val="04A0" w:firstRow="1" w:lastRow="0" w:firstColumn="1" w:lastColumn="0" w:noHBand="0" w:noVBand="1"/>
        </w:tblPrEx>
        <w:trPr>
          <w:gridAfter w:val="1"/>
          <w:wAfter w:w="12" w:type="dxa"/>
          <w:trHeight w:val="146"/>
        </w:trPr>
        <w:tc>
          <w:tcPr>
            <w:tcW w:w="9858" w:type="dxa"/>
            <w:gridSpan w:val="5"/>
            <w:shd w:val="clear" w:color="auto" w:fill="auto"/>
            <w:vAlign w:val="center"/>
          </w:tcPr>
          <w:p w:rsidR="004B76E8" w:rsidRPr="004B76E8" w:rsidRDefault="004B76E8" w:rsidP="004B76E8">
            <w:pPr>
              <w:jc w:val="center"/>
              <w:rPr>
                <w:rFonts w:ascii="Times New Roman" w:eastAsia="Times New Roman" w:hAnsi="Times New Roman"/>
                <w:b/>
                <w:sz w:val="20"/>
                <w:szCs w:val="20"/>
              </w:rPr>
            </w:pPr>
            <w:r w:rsidRPr="004B76E8">
              <w:rPr>
                <w:rFonts w:ascii="Times New Roman" w:eastAsia="Times New Roman" w:hAnsi="Times New Roman"/>
                <w:b/>
                <w:bCs/>
                <w:sz w:val="20"/>
                <w:szCs w:val="20"/>
              </w:rPr>
              <w:t>Acute Care Hospitals</w:t>
            </w:r>
          </w:p>
        </w:tc>
      </w:tr>
      <w:tr w:rsidR="00C35BEA" w:rsidRPr="00D81026" w:rsidTr="00A447E9">
        <w:tblPrEx>
          <w:tblLook w:val="04A0" w:firstRow="1" w:lastRow="0" w:firstColumn="1" w:lastColumn="0" w:noHBand="0" w:noVBand="1"/>
        </w:tblPrEx>
        <w:trPr>
          <w:gridAfter w:val="1"/>
          <w:wAfter w:w="12" w:type="dxa"/>
          <w:trHeight w:val="146"/>
        </w:trPr>
        <w:tc>
          <w:tcPr>
            <w:tcW w:w="7753" w:type="dxa"/>
            <w:gridSpan w:val="2"/>
            <w:shd w:val="clear" w:color="auto" w:fill="auto"/>
          </w:tcPr>
          <w:p w:rsidR="00A447E9" w:rsidRPr="00A447E9" w:rsidRDefault="00A447E9" w:rsidP="008A301C">
            <w:pPr>
              <w:rPr>
                <w:rFonts w:ascii="Times New Roman" w:eastAsia="Times New Roman" w:hAnsi="Times New Roman"/>
                <w:b/>
                <w:bCs/>
                <w:sz w:val="20"/>
                <w:szCs w:val="20"/>
              </w:rPr>
            </w:pPr>
            <w:r w:rsidRPr="00A447E9">
              <w:rPr>
                <w:rFonts w:ascii="Times New Roman" w:eastAsia="Times New Roman" w:hAnsi="Times New Roman"/>
                <w:bCs/>
                <w:sz w:val="20"/>
                <w:szCs w:val="20"/>
              </w:rPr>
              <w:t>Prophylactic antibiotic received within 1-hour prior to surgical incision (SCIP-Inf-1a)</w:t>
            </w:r>
          </w:p>
        </w:tc>
        <w:tc>
          <w:tcPr>
            <w:tcW w:w="1219" w:type="dxa"/>
            <w:shd w:val="clear" w:color="auto" w:fill="auto"/>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SCIP-Inf</w:t>
            </w:r>
          </w:p>
        </w:tc>
        <w:tc>
          <w:tcPr>
            <w:tcW w:w="886" w:type="dxa"/>
            <w:gridSpan w:val="2"/>
            <w:shd w:val="clear" w:color="auto" w:fill="auto"/>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527</w:t>
            </w:r>
          </w:p>
        </w:tc>
      </w:tr>
      <w:tr w:rsidR="00A447E9" w:rsidRPr="00D81026" w:rsidTr="00A447E9">
        <w:tblPrEx>
          <w:tblLook w:val="04A0" w:firstRow="1" w:lastRow="0" w:firstColumn="1" w:lastColumn="0" w:noHBand="0" w:noVBand="1"/>
        </w:tblPrEx>
        <w:trPr>
          <w:gridAfter w:val="1"/>
          <w:wAfter w:w="12" w:type="dxa"/>
          <w:trHeight w:val="146"/>
        </w:trPr>
        <w:tc>
          <w:tcPr>
            <w:tcW w:w="7753" w:type="dxa"/>
            <w:gridSpan w:val="2"/>
            <w:shd w:val="clear" w:color="auto" w:fill="D3DFEE"/>
          </w:tcPr>
          <w:p w:rsidR="00A447E9" w:rsidRPr="00A447E9" w:rsidRDefault="00A447E9" w:rsidP="008A301C">
            <w:pPr>
              <w:rPr>
                <w:rFonts w:ascii="Times New Roman" w:eastAsia="Times New Roman" w:hAnsi="Times New Roman"/>
                <w:b/>
                <w:bCs/>
                <w:sz w:val="20"/>
                <w:szCs w:val="20"/>
              </w:rPr>
            </w:pPr>
            <w:r w:rsidRPr="00A447E9">
              <w:rPr>
                <w:rFonts w:ascii="Times New Roman" w:eastAsia="Times New Roman" w:hAnsi="Times New Roman"/>
                <w:bCs/>
                <w:sz w:val="20"/>
                <w:szCs w:val="20"/>
              </w:rPr>
              <w:t>Prophylactic antibiotic selection for surgical patients (SCIP-Inf-2a)</w:t>
            </w:r>
          </w:p>
        </w:tc>
        <w:tc>
          <w:tcPr>
            <w:tcW w:w="1219" w:type="dxa"/>
            <w:shd w:val="clear" w:color="auto" w:fill="D3DFEE"/>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SCIP-Inf</w:t>
            </w:r>
          </w:p>
        </w:tc>
        <w:tc>
          <w:tcPr>
            <w:tcW w:w="886" w:type="dxa"/>
            <w:gridSpan w:val="2"/>
            <w:shd w:val="clear" w:color="auto" w:fill="D3DFEE"/>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528</w:t>
            </w:r>
          </w:p>
        </w:tc>
      </w:tr>
      <w:tr w:rsidR="00C35BEA" w:rsidRPr="00D81026" w:rsidTr="00A447E9">
        <w:tblPrEx>
          <w:tblLook w:val="04A0" w:firstRow="1" w:lastRow="0" w:firstColumn="1" w:lastColumn="0" w:noHBand="0" w:noVBand="1"/>
        </w:tblPrEx>
        <w:trPr>
          <w:gridAfter w:val="1"/>
          <w:wAfter w:w="12" w:type="dxa"/>
          <w:trHeight w:val="146"/>
        </w:trPr>
        <w:tc>
          <w:tcPr>
            <w:tcW w:w="7753" w:type="dxa"/>
            <w:gridSpan w:val="2"/>
            <w:shd w:val="clear" w:color="auto" w:fill="auto"/>
          </w:tcPr>
          <w:p w:rsidR="00A447E9" w:rsidRPr="00A447E9" w:rsidRDefault="00A447E9" w:rsidP="008A301C">
            <w:pPr>
              <w:rPr>
                <w:rFonts w:ascii="Times New Roman" w:eastAsia="Times New Roman" w:hAnsi="Times New Roman"/>
                <w:b/>
                <w:bCs/>
                <w:sz w:val="20"/>
                <w:szCs w:val="20"/>
              </w:rPr>
            </w:pPr>
            <w:r w:rsidRPr="00A447E9">
              <w:rPr>
                <w:rFonts w:ascii="Times New Roman" w:eastAsia="Times New Roman" w:hAnsi="Times New Roman"/>
                <w:bCs/>
                <w:sz w:val="20"/>
                <w:szCs w:val="20"/>
              </w:rPr>
              <w:t>Prophylactic antibiotics discontinued within 24 hours after surgery end time (SCIP-Inf-3a)</w:t>
            </w:r>
          </w:p>
        </w:tc>
        <w:tc>
          <w:tcPr>
            <w:tcW w:w="1219" w:type="dxa"/>
            <w:shd w:val="clear" w:color="auto" w:fill="auto"/>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SCIP-Inf</w:t>
            </w:r>
          </w:p>
        </w:tc>
        <w:tc>
          <w:tcPr>
            <w:tcW w:w="886" w:type="dxa"/>
            <w:gridSpan w:val="2"/>
            <w:shd w:val="clear" w:color="auto" w:fill="auto"/>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529</w:t>
            </w:r>
          </w:p>
        </w:tc>
      </w:tr>
      <w:tr w:rsidR="00A447E9" w:rsidRPr="00D81026" w:rsidTr="00A447E9">
        <w:tblPrEx>
          <w:tblLook w:val="04A0" w:firstRow="1" w:lastRow="0" w:firstColumn="1" w:lastColumn="0" w:noHBand="0" w:noVBand="1"/>
        </w:tblPrEx>
        <w:trPr>
          <w:gridAfter w:val="1"/>
          <w:wAfter w:w="12" w:type="dxa"/>
          <w:trHeight w:val="146"/>
        </w:trPr>
        <w:tc>
          <w:tcPr>
            <w:tcW w:w="7753" w:type="dxa"/>
            <w:gridSpan w:val="2"/>
            <w:shd w:val="clear" w:color="auto" w:fill="D3DFEE"/>
          </w:tcPr>
          <w:p w:rsidR="00A447E9" w:rsidRPr="00A447E9" w:rsidRDefault="00A447E9" w:rsidP="008A301C">
            <w:pPr>
              <w:rPr>
                <w:rFonts w:ascii="Times New Roman" w:eastAsia="Times New Roman" w:hAnsi="Times New Roman"/>
                <w:b/>
                <w:bCs/>
                <w:sz w:val="20"/>
                <w:szCs w:val="20"/>
              </w:rPr>
            </w:pPr>
            <w:r w:rsidRPr="00A447E9">
              <w:rPr>
                <w:rFonts w:ascii="Times New Roman" w:eastAsia="Times New Roman" w:hAnsi="Times New Roman"/>
                <w:bCs/>
                <w:sz w:val="20"/>
                <w:szCs w:val="20"/>
              </w:rPr>
              <w:t>Cardiac Surgery Patients With Controlled Postoperative Blood Glucose (SCIP-Inf-4)</w:t>
            </w:r>
          </w:p>
        </w:tc>
        <w:tc>
          <w:tcPr>
            <w:tcW w:w="1219" w:type="dxa"/>
            <w:shd w:val="clear" w:color="auto" w:fill="D3DFEE"/>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SCIP-Inf</w:t>
            </w:r>
          </w:p>
        </w:tc>
        <w:tc>
          <w:tcPr>
            <w:tcW w:w="886" w:type="dxa"/>
            <w:gridSpan w:val="2"/>
            <w:shd w:val="clear" w:color="auto" w:fill="D3DFEE"/>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300</w:t>
            </w:r>
          </w:p>
        </w:tc>
      </w:tr>
      <w:tr w:rsidR="00C35BEA" w:rsidRPr="00D81026" w:rsidTr="00A447E9">
        <w:tblPrEx>
          <w:tblLook w:val="04A0" w:firstRow="1" w:lastRow="0" w:firstColumn="1" w:lastColumn="0" w:noHBand="0" w:noVBand="1"/>
        </w:tblPrEx>
        <w:trPr>
          <w:gridAfter w:val="1"/>
          <w:wAfter w:w="12" w:type="dxa"/>
          <w:trHeight w:val="146"/>
        </w:trPr>
        <w:tc>
          <w:tcPr>
            <w:tcW w:w="7753" w:type="dxa"/>
            <w:gridSpan w:val="2"/>
            <w:shd w:val="clear" w:color="auto" w:fill="auto"/>
          </w:tcPr>
          <w:p w:rsidR="00A447E9" w:rsidRPr="00A447E9" w:rsidRDefault="00A447E9" w:rsidP="008A301C">
            <w:pPr>
              <w:rPr>
                <w:rFonts w:ascii="Times New Roman" w:eastAsia="Times New Roman" w:hAnsi="Times New Roman"/>
                <w:b/>
                <w:bCs/>
                <w:sz w:val="20"/>
                <w:szCs w:val="20"/>
              </w:rPr>
            </w:pPr>
            <w:r w:rsidRPr="00A447E9">
              <w:rPr>
                <w:rFonts w:ascii="Times New Roman" w:eastAsia="Times New Roman" w:hAnsi="Times New Roman"/>
                <w:bCs/>
                <w:sz w:val="20"/>
                <w:szCs w:val="20"/>
              </w:rPr>
              <w:t xml:space="preserve">Urinary Catheter Removed on Postoperative Day 1 (POD 1) or Postoperative Day 2 (POD 2) </w:t>
            </w:r>
            <w:r w:rsidRPr="00A447E9">
              <w:rPr>
                <w:rFonts w:ascii="Times New Roman" w:eastAsia="Times New Roman" w:hAnsi="Times New Roman"/>
                <w:bCs/>
                <w:sz w:val="20"/>
                <w:szCs w:val="20"/>
              </w:rPr>
              <w:lastRenderedPageBreak/>
              <w:t>with day of surgery being day zero (SCIP-Inf-9)</w:t>
            </w:r>
          </w:p>
        </w:tc>
        <w:tc>
          <w:tcPr>
            <w:tcW w:w="1219" w:type="dxa"/>
            <w:shd w:val="clear" w:color="auto" w:fill="auto"/>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lastRenderedPageBreak/>
              <w:t>SCIP-Inf</w:t>
            </w:r>
          </w:p>
        </w:tc>
        <w:tc>
          <w:tcPr>
            <w:tcW w:w="886" w:type="dxa"/>
            <w:gridSpan w:val="2"/>
            <w:shd w:val="clear" w:color="auto" w:fill="auto"/>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453</w:t>
            </w:r>
          </w:p>
        </w:tc>
      </w:tr>
      <w:tr w:rsidR="00A447E9" w:rsidRPr="00D81026" w:rsidTr="00A447E9">
        <w:tblPrEx>
          <w:tblLook w:val="04A0" w:firstRow="1" w:lastRow="0" w:firstColumn="1" w:lastColumn="0" w:noHBand="0" w:noVBand="1"/>
        </w:tblPrEx>
        <w:trPr>
          <w:gridAfter w:val="1"/>
          <w:wAfter w:w="12" w:type="dxa"/>
          <w:trHeight w:val="146"/>
        </w:trPr>
        <w:tc>
          <w:tcPr>
            <w:tcW w:w="7753" w:type="dxa"/>
            <w:gridSpan w:val="2"/>
            <w:shd w:val="clear" w:color="auto" w:fill="D3DFEE"/>
          </w:tcPr>
          <w:p w:rsidR="00A447E9" w:rsidRPr="00A447E9" w:rsidRDefault="00A447E9" w:rsidP="008A301C">
            <w:pPr>
              <w:rPr>
                <w:rFonts w:ascii="Times New Roman" w:eastAsia="Times New Roman" w:hAnsi="Times New Roman"/>
                <w:b/>
                <w:bCs/>
                <w:sz w:val="20"/>
                <w:szCs w:val="20"/>
              </w:rPr>
            </w:pPr>
            <w:r w:rsidRPr="00A447E9">
              <w:rPr>
                <w:rFonts w:ascii="Times New Roman" w:eastAsia="Times New Roman" w:hAnsi="Times New Roman"/>
                <w:bCs/>
                <w:sz w:val="20"/>
                <w:szCs w:val="20"/>
              </w:rPr>
              <w:lastRenderedPageBreak/>
              <w:t>Surgery Patients with Perioperative Temperature Management (SCIP-Inf-10)</w:t>
            </w:r>
          </w:p>
        </w:tc>
        <w:tc>
          <w:tcPr>
            <w:tcW w:w="1219" w:type="dxa"/>
            <w:shd w:val="clear" w:color="auto" w:fill="D3DFEE"/>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SCIP-Inf</w:t>
            </w:r>
          </w:p>
        </w:tc>
        <w:tc>
          <w:tcPr>
            <w:tcW w:w="886" w:type="dxa"/>
            <w:gridSpan w:val="2"/>
            <w:shd w:val="clear" w:color="auto" w:fill="D3DFEE"/>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452</w:t>
            </w:r>
          </w:p>
        </w:tc>
      </w:tr>
      <w:tr w:rsidR="00C35BEA" w:rsidRPr="00D81026" w:rsidTr="00A447E9">
        <w:tblPrEx>
          <w:tblLook w:val="04A0" w:firstRow="1" w:lastRow="0" w:firstColumn="1" w:lastColumn="0" w:noHBand="0" w:noVBand="1"/>
        </w:tblPrEx>
        <w:trPr>
          <w:gridAfter w:val="1"/>
          <w:wAfter w:w="12" w:type="dxa"/>
          <w:trHeight w:val="146"/>
        </w:trPr>
        <w:tc>
          <w:tcPr>
            <w:tcW w:w="7753" w:type="dxa"/>
            <w:gridSpan w:val="2"/>
            <w:shd w:val="clear" w:color="auto" w:fill="auto"/>
          </w:tcPr>
          <w:p w:rsidR="00A447E9" w:rsidRPr="00A447E9" w:rsidRDefault="00A447E9" w:rsidP="008A301C">
            <w:pPr>
              <w:rPr>
                <w:rFonts w:ascii="Times New Roman" w:eastAsia="Times New Roman" w:hAnsi="Times New Roman"/>
                <w:b/>
                <w:bCs/>
                <w:sz w:val="20"/>
                <w:szCs w:val="20"/>
              </w:rPr>
            </w:pPr>
            <w:r w:rsidRPr="00A447E9">
              <w:rPr>
                <w:rFonts w:ascii="Times New Roman" w:eastAsia="Times New Roman" w:hAnsi="Times New Roman"/>
                <w:bCs/>
                <w:sz w:val="20"/>
                <w:szCs w:val="20"/>
              </w:rPr>
              <w:t>Surgery patients with recommended venous thromboembolism prophylaxis ordered (SCIP-VTE-1)</w:t>
            </w:r>
          </w:p>
        </w:tc>
        <w:tc>
          <w:tcPr>
            <w:tcW w:w="1219" w:type="dxa"/>
            <w:shd w:val="clear" w:color="auto" w:fill="auto"/>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SCIP-VTE</w:t>
            </w:r>
          </w:p>
        </w:tc>
        <w:tc>
          <w:tcPr>
            <w:tcW w:w="886" w:type="dxa"/>
            <w:gridSpan w:val="2"/>
            <w:shd w:val="clear" w:color="auto" w:fill="auto"/>
          </w:tcPr>
          <w:p w:rsidR="00A447E9" w:rsidRPr="00A447E9" w:rsidRDefault="00A447E9" w:rsidP="00A447E9">
            <w:pPr>
              <w:jc w:val="center"/>
              <w:rPr>
                <w:rFonts w:ascii="Times New Roman" w:eastAsia="Times New Roman" w:hAnsi="Times New Roman"/>
                <w:sz w:val="20"/>
                <w:szCs w:val="20"/>
              </w:rPr>
            </w:pPr>
          </w:p>
        </w:tc>
      </w:tr>
      <w:tr w:rsidR="00A447E9" w:rsidRPr="00D81026" w:rsidTr="00A447E9">
        <w:tblPrEx>
          <w:tblLook w:val="04A0" w:firstRow="1" w:lastRow="0" w:firstColumn="1" w:lastColumn="0" w:noHBand="0" w:noVBand="1"/>
        </w:tblPrEx>
        <w:trPr>
          <w:gridAfter w:val="1"/>
          <w:wAfter w:w="12" w:type="dxa"/>
          <w:trHeight w:val="146"/>
        </w:trPr>
        <w:tc>
          <w:tcPr>
            <w:tcW w:w="7753" w:type="dxa"/>
            <w:gridSpan w:val="2"/>
            <w:shd w:val="clear" w:color="auto" w:fill="D3DFEE"/>
          </w:tcPr>
          <w:p w:rsidR="00A447E9" w:rsidRPr="00A447E9" w:rsidRDefault="00A447E9" w:rsidP="008A301C">
            <w:pPr>
              <w:rPr>
                <w:rFonts w:ascii="Times New Roman" w:eastAsia="Times New Roman" w:hAnsi="Times New Roman"/>
                <w:b/>
                <w:bCs/>
                <w:sz w:val="20"/>
                <w:szCs w:val="20"/>
              </w:rPr>
            </w:pPr>
            <w:r w:rsidRPr="00A447E9">
              <w:rPr>
                <w:rFonts w:ascii="Times New Roman" w:eastAsia="Times New Roman" w:hAnsi="Times New Roman"/>
                <w:bCs/>
                <w:sz w:val="20"/>
                <w:szCs w:val="20"/>
              </w:rPr>
              <w:t>Surgery patients who received appropriate venous thromboembolism prophylaxis within 24 hours prior to surgery to 24 hours after surgery (SCIP-VTE-2)</w:t>
            </w:r>
          </w:p>
        </w:tc>
        <w:tc>
          <w:tcPr>
            <w:tcW w:w="1219" w:type="dxa"/>
            <w:shd w:val="clear" w:color="auto" w:fill="D3DFEE"/>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SCIP-VTE</w:t>
            </w:r>
          </w:p>
        </w:tc>
        <w:tc>
          <w:tcPr>
            <w:tcW w:w="886" w:type="dxa"/>
            <w:gridSpan w:val="2"/>
            <w:shd w:val="clear" w:color="auto" w:fill="D3DFEE"/>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218</w:t>
            </w:r>
          </w:p>
        </w:tc>
      </w:tr>
      <w:tr w:rsidR="00C35BEA" w:rsidRPr="00D81026" w:rsidTr="00A447E9">
        <w:tblPrEx>
          <w:tblLook w:val="04A0" w:firstRow="1" w:lastRow="0" w:firstColumn="1" w:lastColumn="0" w:noHBand="0" w:noVBand="1"/>
        </w:tblPrEx>
        <w:trPr>
          <w:gridAfter w:val="1"/>
          <w:wAfter w:w="12" w:type="dxa"/>
          <w:trHeight w:val="146"/>
        </w:trPr>
        <w:tc>
          <w:tcPr>
            <w:tcW w:w="7753" w:type="dxa"/>
            <w:gridSpan w:val="2"/>
            <w:shd w:val="clear" w:color="auto" w:fill="auto"/>
          </w:tcPr>
          <w:p w:rsidR="00A447E9" w:rsidRPr="00A447E9" w:rsidRDefault="00A447E9" w:rsidP="008A301C">
            <w:pPr>
              <w:rPr>
                <w:rFonts w:ascii="Times New Roman" w:eastAsia="Times New Roman" w:hAnsi="Times New Roman"/>
                <w:b/>
                <w:bCs/>
                <w:sz w:val="20"/>
                <w:szCs w:val="20"/>
              </w:rPr>
            </w:pPr>
            <w:r w:rsidRPr="00A447E9">
              <w:rPr>
                <w:rFonts w:ascii="Times New Roman" w:eastAsia="Times New Roman" w:hAnsi="Times New Roman"/>
                <w:bCs/>
                <w:sz w:val="20"/>
                <w:szCs w:val="20"/>
              </w:rPr>
              <w:t>Surgery Patients on Beta-Blocker Therapy Prior to Arrival Who received a Beta-Blocker During the Perioperative Period (SCIP-Card-2)</w:t>
            </w:r>
          </w:p>
        </w:tc>
        <w:tc>
          <w:tcPr>
            <w:tcW w:w="1219" w:type="dxa"/>
            <w:shd w:val="clear" w:color="auto" w:fill="auto"/>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SCIP-Card</w:t>
            </w:r>
          </w:p>
        </w:tc>
        <w:tc>
          <w:tcPr>
            <w:tcW w:w="886" w:type="dxa"/>
            <w:gridSpan w:val="2"/>
            <w:shd w:val="clear" w:color="auto" w:fill="auto"/>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284</w:t>
            </w:r>
          </w:p>
        </w:tc>
      </w:tr>
      <w:tr w:rsidR="00A447E9" w:rsidRPr="00D81026" w:rsidTr="00A447E9">
        <w:tblPrEx>
          <w:tblLook w:val="04A0" w:firstRow="1" w:lastRow="0" w:firstColumn="1" w:lastColumn="0" w:noHBand="0" w:noVBand="1"/>
        </w:tblPrEx>
        <w:trPr>
          <w:gridAfter w:val="1"/>
          <w:wAfter w:w="12" w:type="dxa"/>
          <w:trHeight w:val="146"/>
        </w:trPr>
        <w:tc>
          <w:tcPr>
            <w:tcW w:w="7753" w:type="dxa"/>
            <w:gridSpan w:val="2"/>
            <w:shd w:val="clear" w:color="auto" w:fill="D3DFEE"/>
          </w:tcPr>
          <w:p w:rsidR="00A447E9" w:rsidRPr="00A447E9" w:rsidRDefault="00A447E9" w:rsidP="008A301C">
            <w:pPr>
              <w:rPr>
                <w:rFonts w:ascii="Times New Roman" w:eastAsia="Times New Roman" w:hAnsi="Times New Roman"/>
                <w:b/>
                <w:bCs/>
                <w:sz w:val="20"/>
                <w:szCs w:val="20"/>
              </w:rPr>
            </w:pPr>
            <w:r w:rsidRPr="00A447E9">
              <w:rPr>
                <w:rFonts w:ascii="Times New Roman" w:eastAsia="Times New Roman" w:hAnsi="Times New Roman"/>
                <w:bCs/>
                <w:sz w:val="20"/>
                <w:szCs w:val="20"/>
              </w:rPr>
              <w:t>Plan All-Cause Readmission (NCQA)</w:t>
            </w:r>
          </w:p>
        </w:tc>
        <w:tc>
          <w:tcPr>
            <w:tcW w:w="1219" w:type="dxa"/>
            <w:shd w:val="clear" w:color="auto" w:fill="D3DFEE"/>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HEDIS</w:t>
            </w:r>
          </w:p>
        </w:tc>
        <w:tc>
          <w:tcPr>
            <w:tcW w:w="886" w:type="dxa"/>
            <w:gridSpan w:val="2"/>
            <w:shd w:val="clear" w:color="auto" w:fill="D3DFEE"/>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1768</w:t>
            </w:r>
          </w:p>
        </w:tc>
      </w:tr>
      <w:tr w:rsidR="00C35BEA" w:rsidRPr="00D81026" w:rsidTr="00A447E9">
        <w:tblPrEx>
          <w:tblLook w:val="04A0" w:firstRow="1" w:lastRow="0" w:firstColumn="1" w:lastColumn="0" w:noHBand="0" w:noVBand="1"/>
        </w:tblPrEx>
        <w:trPr>
          <w:gridAfter w:val="1"/>
          <w:wAfter w:w="12" w:type="dxa"/>
          <w:trHeight w:val="146"/>
        </w:trPr>
        <w:tc>
          <w:tcPr>
            <w:tcW w:w="7753" w:type="dxa"/>
            <w:gridSpan w:val="2"/>
            <w:shd w:val="clear" w:color="auto" w:fill="auto"/>
          </w:tcPr>
          <w:p w:rsidR="00A447E9" w:rsidRPr="00A447E9" w:rsidRDefault="00A447E9" w:rsidP="008A301C">
            <w:pPr>
              <w:rPr>
                <w:rFonts w:ascii="Times New Roman" w:eastAsia="Times New Roman" w:hAnsi="Times New Roman"/>
                <w:b/>
                <w:bCs/>
                <w:sz w:val="20"/>
                <w:szCs w:val="20"/>
              </w:rPr>
            </w:pPr>
            <w:r w:rsidRPr="00A447E9">
              <w:rPr>
                <w:rFonts w:ascii="Times New Roman" w:eastAsia="Times New Roman" w:hAnsi="Times New Roman"/>
                <w:bCs/>
                <w:sz w:val="20"/>
                <w:szCs w:val="20"/>
              </w:rPr>
              <w:t>Relievers for inpatient asthma (CAC 1)</w:t>
            </w:r>
          </w:p>
        </w:tc>
        <w:tc>
          <w:tcPr>
            <w:tcW w:w="1219" w:type="dxa"/>
            <w:shd w:val="clear" w:color="auto" w:fill="auto"/>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CAC</w:t>
            </w:r>
          </w:p>
        </w:tc>
        <w:tc>
          <w:tcPr>
            <w:tcW w:w="886" w:type="dxa"/>
            <w:gridSpan w:val="2"/>
            <w:shd w:val="clear" w:color="auto" w:fill="auto"/>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143</w:t>
            </w:r>
          </w:p>
        </w:tc>
      </w:tr>
      <w:tr w:rsidR="00A447E9" w:rsidRPr="00D81026" w:rsidTr="00A447E9">
        <w:tblPrEx>
          <w:tblLook w:val="04A0" w:firstRow="1" w:lastRow="0" w:firstColumn="1" w:lastColumn="0" w:noHBand="0" w:noVBand="1"/>
        </w:tblPrEx>
        <w:trPr>
          <w:gridAfter w:val="1"/>
          <w:wAfter w:w="12" w:type="dxa"/>
          <w:trHeight w:val="146"/>
        </w:trPr>
        <w:tc>
          <w:tcPr>
            <w:tcW w:w="7753" w:type="dxa"/>
            <w:gridSpan w:val="2"/>
            <w:shd w:val="clear" w:color="auto" w:fill="D3DFEE"/>
          </w:tcPr>
          <w:p w:rsidR="00A447E9" w:rsidRPr="00A447E9" w:rsidRDefault="00A447E9" w:rsidP="008A301C">
            <w:pPr>
              <w:rPr>
                <w:rFonts w:ascii="Times New Roman" w:eastAsia="Times New Roman" w:hAnsi="Times New Roman"/>
                <w:b/>
                <w:bCs/>
                <w:sz w:val="20"/>
                <w:szCs w:val="20"/>
              </w:rPr>
            </w:pPr>
            <w:r w:rsidRPr="00A447E9">
              <w:rPr>
                <w:rFonts w:ascii="Times New Roman" w:eastAsia="Times New Roman" w:hAnsi="Times New Roman"/>
                <w:bCs/>
                <w:sz w:val="20"/>
                <w:szCs w:val="20"/>
              </w:rPr>
              <w:t>Systemic corticosteroids for inpatient asthma (CAC 2)</w:t>
            </w:r>
          </w:p>
        </w:tc>
        <w:tc>
          <w:tcPr>
            <w:tcW w:w="1219" w:type="dxa"/>
            <w:shd w:val="clear" w:color="auto" w:fill="D3DFEE"/>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CAC</w:t>
            </w:r>
          </w:p>
        </w:tc>
        <w:tc>
          <w:tcPr>
            <w:tcW w:w="886" w:type="dxa"/>
            <w:gridSpan w:val="2"/>
            <w:shd w:val="clear" w:color="auto" w:fill="D3DFEE"/>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144</w:t>
            </w:r>
          </w:p>
        </w:tc>
      </w:tr>
      <w:tr w:rsidR="00C35BEA" w:rsidRPr="00D81026" w:rsidTr="00A447E9">
        <w:tblPrEx>
          <w:tblLook w:val="04A0" w:firstRow="1" w:lastRow="0" w:firstColumn="1" w:lastColumn="0" w:noHBand="0" w:noVBand="1"/>
        </w:tblPrEx>
        <w:trPr>
          <w:gridAfter w:val="1"/>
          <w:wAfter w:w="12" w:type="dxa"/>
          <w:trHeight w:val="146"/>
        </w:trPr>
        <w:tc>
          <w:tcPr>
            <w:tcW w:w="7753" w:type="dxa"/>
            <w:gridSpan w:val="2"/>
            <w:shd w:val="clear" w:color="auto" w:fill="auto"/>
          </w:tcPr>
          <w:p w:rsidR="00A447E9" w:rsidRPr="00A447E9" w:rsidRDefault="00A447E9" w:rsidP="008A301C">
            <w:pPr>
              <w:rPr>
                <w:rFonts w:ascii="Times New Roman" w:eastAsia="Times New Roman" w:hAnsi="Times New Roman"/>
                <w:b/>
                <w:bCs/>
                <w:sz w:val="20"/>
                <w:szCs w:val="20"/>
              </w:rPr>
            </w:pPr>
            <w:r w:rsidRPr="00A447E9">
              <w:rPr>
                <w:rFonts w:ascii="Times New Roman" w:eastAsia="Times New Roman" w:hAnsi="Times New Roman"/>
                <w:bCs/>
                <w:sz w:val="20"/>
                <w:szCs w:val="20"/>
              </w:rPr>
              <w:t>Home Management Plan of Care Document Given to Patient/Caregiver (CAC 3)</w:t>
            </w:r>
          </w:p>
        </w:tc>
        <w:tc>
          <w:tcPr>
            <w:tcW w:w="1219" w:type="dxa"/>
            <w:shd w:val="clear" w:color="auto" w:fill="auto"/>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CAC</w:t>
            </w:r>
          </w:p>
        </w:tc>
        <w:tc>
          <w:tcPr>
            <w:tcW w:w="886" w:type="dxa"/>
            <w:gridSpan w:val="2"/>
            <w:shd w:val="clear" w:color="auto" w:fill="auto"/>
          </w:tcPr>
          <w:p w:rsidR="00A447E9" w:rsidRPr="00A447E9" w:rsidRDefault="00A447E9" w:rsidP="00A447E9">
            <w:pPr>
              <w:jc w:val="center"/>
              <w:rPr>
                <w:rFonts w:ascii="Times New Roman" w:eastAsia="Times New Roman" w:hAnsi="Times New Roman"/>
                <w:sz w:val="20"/>
                <w:szCs w:val="20"/>
              </w:rPr>
            </w:pPr>
          </w:p>
        </w:tc>
      </w:tr>
      <w:tr w:rsidR="00A447E9" w:rsidRPr="00D81026" w:rsidTr="00A447E9">
        <w:tblPrEx>
          <w:tblLook w:val="04A0" w:firstRow="1" w:lastRow="0" w:firstColumn="1" w:lastColumn="0" w:noHBand="0" w:noVBand="1"/>
        </w:tblPrEx>
        <w:trPr>
          <w:gridAfter w:val="1"/>
          <w:wAfter w:w="12" w:type="dxa"/>
          <w:trHeight w:val="70"/>
        </w:trPr>
        <w:tc>
          <w:tcPr>
            <w:tcW w:w="7753" w:type="dxa"/>
            <w:gridSpan w:val="2"/>
            <w:shd w:val="clear" w:color="auto" w:fill="D3DFEE"/>
          </w:tcPr>
          <w:p w:rsidR="00A447E9" w:rsidRPr="00A447E9" w:rsidRDefault="00A447E9" w:rsidP="008A301C">
            <w:pPr>
              <w:rPr>
                <w:rFonts w:ascii="Times New Roman" w:eastAsia="Times New Roman" w:hAnsi="Times New Roman"/>
                <w:b/>
                <w:bCs/>
                <w:sz w:val="20"/>
                <w:szCs w:val="20"/>
              </w:rPr>
            </w:pPr>
            <w:r w:rsidRPr="00A447E9">
              <w:rPr>
                <w:rFonts w:ascii="Times New Roman" w:eastAsia="Times New Roman" w:hAnsi="Times New Roman"/>
                <w:bCs/>
                <w:sz w:val="20"/>
                <w:szCs w:val="20"/>
              </w:rPr>
              <w:t>Hospital-Wide All-Cause Unplanned Readmission Measure (Yale/CMS)</w:t>
            </w:r>
          </w:p>
        </w:tc>
        <w:tc>
          <w:tcPr>
            <w:tcW w:w="1219" w:type="dxa"/>
            <w:shd w:val="clear" w:color="auto" w:fill="D3DFEE"/>
          </w:tcPr>
          <w:p w:rsidR="00A447E9" w:rsidRPr="00A447E9" w:rsidRDefault="00A447E9" w:rsidP="00A447E9">
            <w:pPr>
              <w:jc w:val="center"/>
              <w:rPr>
                <w:rFonts w:ascii="Times New Roman" w:eastAsia="Times New Roman" w:hAnsi="Times New Roman"/>
                <w:sz w:val="20"/>
                <w:szCs w:val="20"/>
              </w:rPr>
            </w:pPr>
          </w:p>
        </w:tc>
        <w:tc>
          <w:tcPr>
            <w:tcW w:w="886" w:type="dxa"/>
            <w:gridSpan w:val="2"/>
            <w:shd w:val="clear" w:color="auto" w:fill="D3DFEE"/>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1789</w:t>
            </w:r>
          </w:p>
        </w:tc>
      </w:tr>
      <w:tr w:rsidR="00C35BEA" w:rsidRPr="00D81026" w:rsidTr="00A447E9">
        <w:tblPrEx>
          <w:tblLook w:val="04A0" w:firstRow="1" w:lastRow="0" w:firstColumn="1" w:lastColumn="0" w:noHBand="0" w:noVBand="1"/>
        </w:tblPrEx>
        <w:trPr>
          <w:gridAfter w:val="1"/>
          <w:wAfter w:w="12" w:type="dxa"/>
          <w:trHeight w:val="70"/>
        </w:trPr>
        <w:tc>
          <w:tcPr>
            <w:tcW w:w="7753" w:type="dxa"/>
            <w:gridSpan w:val="2"/>
            <w:shd w:val="clear" w:color="auto" w:fill="auto"/>
          </w:tcPr>
          <w:p w:rsidR="00A447E9" w:rsidRPr="00A447E9" w:rsidRDefault="00A447E9" w:rsidP="008A301C">
            <w:pPr>
              <w:rPr>
                <w:rFonts w:ascii="Times New Roman" w:eastAsia="Times New Roman" w:hAnsi="Times New Roman"/>
                <w:b/>
                <w:bCs/>
                <w:sz w:val="20"/>
                <w:szCs w:val="20"/>
              </w:rPr>
            </w:pPr>
            <w:r w:rsidRPr="00A447E9">
              <w:rPr>
                <w:rFonts w:ascii="Times New Roman" w:eastAsia="Times New Roman" w:hAnsi="Times New Roman"/>
                <w:bCs/>
                <w:sz w:val="20"/>
                <w:szCs w:val="20"/>
              </w:rPr>
              <w:t>Timely transmission of transition record (CCM 3)</w:t>
            </w:r>
          </w:p>
        </w:tc>
        <w:tc>
          <w:tcPr>
            <w:tcW w:w="1219" w:type="dxa"/>
            <w:shd w:val="clear" w:color="auto" w:fill="auto"/>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CCM</w:t>
            </w:r>
          </w:p>
        </w:tc>
        <w:tc>
          <w:tcPr>
            <w:tcW w:w="886" w:type="dxa"/>
            <w:gridSpan w:val="2"/>
            <w:shd w:val="clear" w:color="auto" w:fill="auto"/>
          </w:tcPr>
          <w:p w:rsidR="00A447E9" w:rsidRPr="00A447E9" w:rsidRDefault="00A447E9" w:rsidP="00A447E9">
            <w:pPr>
              <w:jc w:val="center"/>
              <w:rPr>
                <w:rFonts w:ascii="Times New Roman" w:eastAsia="Times New Roman" w:hAnsi="Times New Roman"/>
                <w:sz w:val="20"/>
                <w:szCs w:val="20"/>
              </w:rPr>
            </w:pPr>
          </w:p>
        </w:tc>
      </w:tr>
      <w:tr w:rsidR="00A447E9" w:rsidRPr="00D81026" w:rsidTr="00A447E9">
        <w:tblPrEx>
          <w:tblLook w:val="04A0" w:firstRow="1" w:lastRow="0" w:firstColumn="1" w:lastColumn="0" w:noHBand="0" w:noVBand="1"/>
        </w:tblPrEx>
        <w:trPr>
          <w:gridAfter w:val="1"/>
          <w:wAfter w:w="12" w:type="dxa"/>
          <w:trHeight w:val="70"/>
        </w:trPr>
        <w:tc>
          <w:tcPr>
            <w:tcW w:w="7753" w:type="dxa"/>
            <w:gridSpan w:val="2"/>
            <w:shd w:val="clear" w:color="auto" w:fill="D3DFEE"/>
          </w:tcPr>
          <w:p w:rsidR="00A447E9" w:rsidRPr="00A447E9" w:rsidRDefault="00A447E9" w:rsidP="008A301C">
            <w:pPr>
              <w:rPr>
                <w:rFonts w:ascii="Times New Roman" w:eastAsia="Times New Roman" w:hAnsi="Times New Roman"/>
                <w:b/>
                <w:bCs/>
                <w:sz w:val="20"/>
                <w:szCs w:val="20"/>
              </w:rPr>
            </w:pPr>
            <w:r w:rsidRPr="00A447E9">
              <w:rPr>
                <w:rFonts w:ascii="Times New Roman" w:eastAsia="Times New Roman" w:hAnsi="Times New Roman"/>
                <w:bCs/>
                <w:sz w:val="20"/>
                <w:szCs w:val="20"/>
              </w:rPr>
              <w:t>Detailed Discharge Instructions (HF 1)</w:t>
            </w:r>
          </w:p>
        </w:tc>
        <w:tc>
          <w:tcPr>
            <w:tcW w:w="1219" w:type="dxa"/>
            <w:shd w:val="clear" w:color="auto" w:fill="D3DFEE"/>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HF</w:t>
            </w:r>
          </w:p>
        </w:tc>
        <w:tc>
          <w:tcPr>
            <w:tcW w:w="886" w:type="dxa"/>
            <w:gridSpan w:val="2"/>
            <w:shd w:val="clear" w:color="auto" w:fill="D3DFEE"/>
          </w:tcPr>
          <w:p w:rsidR="00A447E9" w:rsidRPr="00A447E9" w:rsidRDefault="00A447E9" w:rsidP="00A447E9">
            <w:pPr>
              <w:jc w:val="center"/>
              <w:rPr>
                <w:rFonts w:ascii="Times New Roman" w:eastAsia="Times New Roman" w:hAnsi="Times New Roman"/>
                <w:sz w:val="20"/>
                <w:szCs w:val="20"/>
              </w:rPr>
            </w:pPr>
          </w:p>
        </w:tc>
      </w:tr>
      <w:tr w:rsidR="00C35BEA" w:rsidRPr="00D81026" w:rsidTr="00A447E9">
        <w:tblPrEx>
          <w:tblLook w:val="04A0" w:firstRow="1" w:lastRow="0" w:firstColumn="1" w:lastColumn="0" w:noHBand="0" w:noVBand="1"/>
        </w:tblPrEx>
        <w:trPr>
          <w:gridAfter w:val="1"/>
          <w:wAfter w:w="12" w:type="dxa"/>
          <w:trHeight w:val="70"/>
        </w:trPr>
        <w:tc>
          <w:tcPr>
            <w:tcW w:w="7753" w:type="dxa"/>
            <w:gridSpan w:val="2"/>
            <w:shd w:val="clear" w:color="auto" w:fill="auto"/>
          </w:tcPr>
          <w:p w:rsidR="00A447E9" w:rsidRPr="00A447E9" w:rsidRDefault="00A447E9" w:rsidP="008A301C">
            <w:pPr>
              <w:rPr>
                <w:rFonts w:ascii="Times New Roman" w:eastAsia="Times New Roman" w:hAnsi="Times New Roman"/>
                <w:b/>
                <w:bCs/>
                <w:sz w:val="20"/>
                <w:szCs w:val="20"/>
              </w:rPr>
            </w:pPr>
            <w:r w:rsidRPr="00A447E9">
              <w:rPr>
                <w:rFonts w:ascii="Times New Roman" w:eastAsia="Times New Roman" w:hAnsi="Times New Roman"/>
                <w:bCs/>
                <w:sz w:val="20"/>
                <w:szCs w:val="20"/>
              </w:rPr>
              <w:t>Evaluation of Left Ventricular Systolic (LVS) Function (HF 2)</w:t>
            </w:r>
          </w:p>
        </w:tc>
        <w:tc>
          <w:tcPr>
            <w:tcW w:w="1219" w:type="dxa"/>
            <w:shd w:val="clear" w:color="auto" w:fill="auto"/>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HF</w:t>
            </w:r>
          </w:p>
        </w:tc>
        <w:tc>
          <w:tcPr>
            <w:tcW w:w="886" w:type="dxa"/>
            <w:gridSpan w:val="2"/>
            <w:shd w:val="clear" w:color="auto" w:fill="auto"/>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135</w:t>
            </w:r>
          </w:p>
        </w:tc>
      </w:tr>
      <w:tr w:rsidR="00A447E9" w:rsidRPr="00D81026" w:rsidTr="00A447E9">
        <w:tblPrEx>
          <w:tblLook w:val="04A0" w:firstRow="1" w:lastRow="0" w:firstColumn="1" w:lastColumn="0" w:noHBand="0" w:noVBand="1"/>
        </w:tblPrEx>
        <w:trPr>
          <w:gridAfter w:val="1"/>
          <w:wAfter w:w="12" w:type="dxa"/>
          <w:trHeight w:val="70"/>
        </w:trPr>
        <w:tc>
          <w:tcPr>
            <w:tcW w:w="7753" w:type="dxa"/>
            <w:gridSpan w:val="2"/>
            <w:shd w:val="clear" w:color="auto" w:fill="D3DFEE"/>
          </w:tcPr>
          <w:p w:rsidR="00A447E9" w:rsidRPr="00A447E9" w:rsidRDefault="00A447E9" w:rsidP="008A301C">
            <w:pPr>
              <w:rPr>
                <w:rFonts w:ascii="Times New Roman" w:eastAsia="Times New Roman" w:hAnsi="Times New Roman"/>
                <w:b/>
                <w:bCs/>
                <w:sz w:val="20"/>
                <w:szCs w:val="20"/>
              </w:rPr>
            </w:pPr>
            <w:r w:rsidRPr="00A447E9">
              <w:rPr>
                <w:rFonts w:ascii="Times New Roman" w:eastAsia="Times New Roman" w:hAnsi="Times New Roman"/>
                <w:bCs/>
                <w:sz w:val="20"/>
                <w:szCs w:val="20"/>
              </w:rPr>
              <w:t>Angiotensin converting enzyme inhibitor (ACEI) or angiotensin receptor blocker (ARB) for left ventricular systolic dysfunction (LVSD) (HF 3)</w:t>
            </w:r>
          </w:p>
        </w:tc>
        <w:tc>
          <w:tcPr>
            <w:tcW w:w="1219" w:type="dxa"/>
            <w:shd w:val="clear" w:color="auto" w:fill="D3DFEE"/>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HF</w:t>
            </w:r>
          </w:p>
        </w:tc>
        <w:tc>
          <w:tcPr>
            <w:tcW w:w="886" w:type="dxa"/>
            <w:gridSpan w:val="2"/>
            <w:shd w:val="clear" w:color="auto" w:fill="D3DFEE"/>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162</w:t>
            </w:r>
          </w:p>
        </w:tc>
      </w:tr>
      <w:tr w:rsidR="00C35BEA" w:rsidRPr="00D81026" w:rsidTr="00A447E9">
        <w:tblPrEx>
          <w:tblLook w:val="04A0" w:firstRow="1" w:lastRow="0" w:firstColumn="1" w:lastColumn="0" w:noHBand="0" w:noVBand="1"/>
        </w:tblPrEx>
        <w:trPr>
          <w:gridAfter w:val="1"/>
          <w:wAfter w:w="12" w:type="dxa"/>
          <w:trHeight w:val="70"/>
        </w:trPr>
        <w:tc>
          <w:tcPr>
            <w:tcW w:w="7753" w:type="dxa"/>
            <w:gridSpan w:val="2"/>
            <w:shd w:val="clear" w:color="auto" w:fill="auto"/>
          </w:tcPr>
          <w:p w:rsidR="00A447E9" w:rsidRPr="00A447E9" w:rsidRDefault="00A447E9" w:rsidP="008A301C">
            <w:pPr>
              <w:rPr>
                <w:rFonts w:ascii="Times New Roman" w:eastAsia="Times New Roman" w:hAnsi="Times New Roman"/>
                <w:b/>
                <w:bCs/>
                <w:sz w:val="20"/>
                <w:szCs w:val="20"/>
              </w:rPr>
            </w:pPr>
            <w:r w:rsidRPr="00A447E9">
              <w:rPr>
                <w:rFonts w:ascii="Times New Roman" w:eastAsia="Times New Roman" w:hAnsi="Times New Roman"/>
                <w:bCs/>
                <w:sz w:val="20"/>
                <w:szCs w:val="20"/>
              </w:rPr>
              <w:t>Blood cultures performed in the emergency department prior to initial antibiotic received in hospital (PN 3b)</w:t>
            </w:r>
          </w:p>
        </w:tc>
        <w:tc>
          <w:tcPr>
            <w:tcW w:w="1219" w:type="dxa"/>
            <w:shd w:val="clear" w:color="auto" w:fill="auto"/>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PN</w:t>
            </w:r>
          </w:p>
        </w:tc>
        <w:tc>
          <w:tcPr>
            <w:tcW w:w="886" w:type="dxa"/>
            <w:gridSpan w:val="2"/>
            <w:shd w:val="clear" w:color="auto" w:fill="auto"/>
          </w:tcPr>
          <w:p w:rsidR="00A447E9" w:rsidRPr="00A447E9" w:rsidRDefault="00A447E9" w:rsidP="00A447E9">
            <w:pPr>
              <w:jc w:val="center"/>
              <w:rPr>
                <w:rFonts w:ascii="Times New Roman" w:eastAsia="Times New Roman" w:hAnsi="Times New Roman"/>
                <w:sz w:val="20"/>
                <w:szCs w:val="20"/>
              </w:rPr>
            </w:pPr>
          </w:p>
        </w:tc>
      </w:tr>
      <w:tr w:rsidR="00A447E9" w:rsidRPr="00D81026" w:rsidTr="00A447E9">
        <w:tblPrEx>
          <w:tblLook w:val="04A0" w:firstRow="1" w:lastRow="0" w:firstColumn="1" w:lastColumn="0" w:noHBand="0" w:noVBand="1"/>
        </w:tblPrEx>
        <w:trPr>
          <w:gridAfter w:val="1"/>
          <w:wAfter w:w="12" w:type="dxa"/>
          <w:trHeight w:val="70"/>
        </w:trPr>
        <w:tc>
          <w:tcPr>
            <w:tcW w:w="7753" w:type="dxa"/>
            <w:gridSpan w:val="2"/>
            <w:shd w:val="clear" w:color="auto" w:fill="D3DFEE"/>
          </w:tcPr>
          <w:p w:rsidR="00A447E9" w:rsidRPr="00A447E9" w:rsidRDefault="00A447E9" w:rsidP="008A301C">
            <w:pPr>
              <w:rPr>
                <w:rFonts w:ascii="Times New Roman" w:eastAsia="Times New Roman" w:hAnsi="Times New Roman"/>
                <w:b/>
                <w:bCs/>
                <w:sz w:val="20"/>
                <w:szCs w:val="20"/>
              </w:rPr>
            </w:pPr>
            <w:r w:rsidRPr="00A447E9">
              <w:rPr>
                <w:rFonts w:ascii="Times New Roman" w:eastAsia="Times New Roman" w:hAnsi="Times New Roman"/>
                <w:bCs/>
                <w:sz w:val="20"/>
                <w:szCs w:val="20"/>
              </w:rPr>
              <w:t>Initial antibiotic selection for community-acquired pneumonia (CAP) in immunocompetent patients (PN 6)</w:t>
            </w:r>
          </w:p>
        </w:tc>
        <w:tc>
          <w:tcPr>
            <w:tcW w:w="1219" w:type="dxa"/>
            <w:shd w:val="clear" w:color="auto" w:fill="D3DFEE"/>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PN</w:t>
            </w:r>
          </w:p>
        </w:tc>
        <w:tc>
          <w:tcPr>
            <w:tcW w:w="886" w:type="dxa"/>
            <w:gridSpan w:val="2"/>
            <w:shd w:val="clear" w:color="auto" w:fill="D3DFEE"/>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147</w:t>
            </w:r>
          </w:p>
        </w:tc>
      </w:tr>
      <w:tr w:rsidR="00C35BEA" w:rsidRPr="00D81026" w:rsidTr="00A447E9">
        <w:tblPrEx>
          <w:tblLook w:val="04A0" w:firstRow="1" w:lastRow="0" w:firstColumn="1" w:lastColumn="0" w:noHBand="0" w:noVBand="1"/>
        </w:tblPrEx>
        <w:trPr>
          <w:gridAfter w:val="1"/>
          <w:wAfter w:w="12" w:type="dxa"/>
          <w:trHeight w:val="70"/>
        </w:trPr>
        <w:tc>
          <w:tcPr>
            <w:tcW w:w="7753" w:type="dxa"/>
            <w:gridSpan w:val="2"/>
            <w:shd w:val="clear" w:color="auto" w:fill="auto"/>
          </w:tcPr>
          <w:p w:rsidR="00A447E9" w:rsidRPr="00A447E9" w:rsidRDefault="00A447E9" w:rsidP="008A301C">
            <w:pPr>
              <w:rPr>
                <w:rFonts w:ascii="Times New Roman" w:eastAsia="Times New Roman" w:hAnsi="Times New Roman"/>
                <w:b/>
                <w:bCs/>
                <w:sz w:val="20"/>
                <w:szCs w:val="20"/>
              </w:rPr>
            </w:pPr>
            <w:r w:rsidRPr="00A447E9">
              <w:rPr>
                <w:rFonts w:ascii="Times New Roman" w:eastAsia="Times New Roman" w:hAnsi="Times New Roman"/>
                <w:bCs/>
                <w:sz w:val="20"/>
                <w:szCs w:val="20"/>
              </w:rPr>
              <w:t>Aspirin prescribed at discharge for AMI (AMI 2)</w:t>
            </w:r>
          </w:p>
        </w:tc>
        <w:tc>
          <w:tcPr>
            <w:tcW w:w="1219" w:type="dxa"/>
            <w:shd w:val="clear" w:color="auto" w:fill="auto"/>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AMI</w:t>
            </w:r>
          </w:p>
        </w:tc>
        <w:tc>
          <w:tcPr>
            <w:tcW w:w="886" w:type="dxa"/>
            <w:gridSpan w:val="2"/>
            <w:shd w:val="clear" w:color="auto" w:fill="auto"/>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142</w:t>
            </w:r>
          </w:p>
        </w:tc>
      </w:tr>
      <w:tr w:rsidR="00A447E9" w:rsidRPr="00D81026" w:rsidTr="00A447E9">
        <w:tblPrEx>
          <w:tblLook w:val="04A0" w:firstRow="1" w:lastRow="0" w:firstColumn="1" w:lastColumn="0" w:noHBand="0" w:noVBand="1"/>
        </w:tblPrEx>
        <w:trPr>
          <w:gridAfter w:val="1"/>
          <w:wAfter w:w="12" w:type="dxa"/>
          <w:trHeight w:val="70"/>
        </w:trPr>
        <w:tc>
          <w:tcPr>
            <w:tcW w:w="7753" w:type="dxa"/>
            <w:gridSpan w:val="2"/>
            <w:shd w:val="clear" w:color="auto" w:fill="D3DFEE"/>
          </w:tcPr>
          <w:p w:rsidR="00A447E9" w:rsidRPr="00A447E9" w:rsidRDefault="00A447E9" w:rsidP="008A301C">
            <w:pPr>
              <w:rPr>
                <w:rFonts w:ascii="Times New Roman" w:eastAsia="Times New Roman" w:hAnsi="Times New Roman"/>
                <w:b/>
                <w:bCs/>
                <w:sz w:val="20"/>
                <w:szCs w:val="20"/>
              </w:rPr>
            </w:pPr>
            <w:r w:rsidRPr="00A447E9">
              <w:rPr>
                <w:rFonts w:ascii="Times New Roman" w:eastAsia="Times New Roman" w:hAnsi="Times New Roman"/>
                <w:bCs/>
                <w:sz w:val="20"/>
                <w:szCs w:val="20"/>
              </w:rPr>
              <w:t>Fibrinolytic therapy received within 30 minutes of hospital arrival (AMI 7a)</w:t>
            </w:r>
          </w:p>
        </w:tc>
        <w:tc>
          <w:tcPr>
            <w:tcW w:w="1219" w:type="dxa"/>
            <w:shd w:val="clear" w:color="auto" w:fill="D3DFEE"/>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AMI</w:t>
            </w:r>
          </w:p>
        </w:tc>
        <w:tc>
          <w:tcPr>
            <w:tcW w:w="886" w:type="dxa"/>
            <w:gridSpan w:val="2"/>
            <w:shd w:val="clear" w:color="auto" w:fill="D3DFEE"/>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164</w:t>
            </w:r>
          </w:p>
        </w:tc>
      </w:tr>
      <w:tr w:rsidR="00C35BEA" w:rsidRPr="00D81026" w:rsidTr="00A447E9">
        <w:tblPrEx>
          <w:tblLook w:val="04A0" w:firstRow="1" w:lastRow="0" w:firstColumn="1" w:lastColumn="0" w:noHBand="0" w:noVBand="1"/>
        </w:tblPrEx>
        <w:trPr>
          <w:gridAfter w:val="1"/>
          <w:wAfter w:w="12" w:type="dxa"/>
          <w:trHeight w:val="70"/>
        </w:trPr>
        <w:tc>
          <w:tcPr>
            <w:tcW w:w="7753" w:type="dxa"/>
            <w:gridSpan w:val="2"/>
            <w:shd w:val="clear" w:color="auto" w:fill="auto"/>
          </w:tcPr>
          <w:p w:rsidR="00A447E9" w:rsidRPr="00A447E9" w:rsidRDefault="00A447E9" w:rsidP="008A301C">
            <w:pPr>
              <w:rPr>
                <w:rFonts w:ascii="Times New Roman" w:eastAsia="Times New Roman" w:hAnsi="Times New Roman"/>
                <w:b/>
                <w:bCs/>
                <w:sz w:val="20"/>
                <w:szCs w:val="20"/>
              </w:rPr>
            </w:pPr>
            <w:r w:rsidRPr="00A447E9">
              <w:rPr>
                <w:rFonts w:ascii="Times New Roman" w:eastAsia="Times New Roman" w:hAnsi="Times New Roman"/>
                <w:bCs/>
                <w:sz w:val="20"/>
                <w:szCs w:val="20"/>
              </w:rPr>
              <w:lastRenderedPageBreak/>
              <w:t>Primary percutaneous coronary intervention (PCI) received within 90 minutes of hospital arrival (AMI 8a)</w:t>
            </w:r>
          </w:p>
        </w:tc>
        <w:tc>
          <w:tcPr>
            <w:tcW w:w="1219" w:type="dxa"/>
            <w:shd w:val="clear" w:color="auto" w:fill="auto"/>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AMI</w:t>
            </w:r>
          </w:p>
        </w:tc>
        <w:tc>
          <w:tcPr>
            <w:tcW w:w="886" w:type="dxa"/>
            <w:gridSpan w:val="2"/>
            <w:shd w:val="clear" w:color="auto" w:fill="auto"/>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163</w:t>
            </w:r>
          </w:p>
        </w:tc>
      </w:tr>
      <w:tr w:rsidR="00A447E9" w:rsidRPr="00D81026" w:rsidTr="00A447E9">
        <w:tblPrEx>
          <w:tblLook w:val="04A0" w:firstRow="1" w:lastRow="0" w:firstColumn="1" w:lastColumn="0" w:noHBand="0" w:noVBand="1"/>
        </w:tblPrEx>
        <w:trPr>
          <w:gridAfter w:val="1"/>
          <w:wAfter w:w="12" w:type="dxa"/>
          <w:trHeight w:val="70"/>
        </w:trPr>
        <w:tc>
          <w:tcPr>
            <w:tcW w:w="7753" w:type="dxa"/>
            <w:gridSpan w:val="2"/>
            <w:shd w:val="clear" w:color="auto" w:fill="D3DFEE"/>
          </w:tcPr>
          <w:p w:rsidR="00A447E9" w:rsidRPr="00A447E9" w:rsidRDefault="00A447E9" w:rsidP="008A301C">
            <w:pPr>
              <w:rPr>
                <w:rFonts w:ascii="Times New Roman" w:eastAsia="Times New Roman" w:hAnsi="Times New Roman"/>
                <w:b/>
                <w:bCs/>
                <w:sz w:val="20"/>
                <w:szCs w:val="20"/>
              </w:rPr>
            </w:pPr>
            <w:r w:rsidRPr="00A447E9">
              <w:rPr>
                <w:rFonts w:ascii="Times New Roman" w:eastAsia="Times New Roman" w:hAnsi="Times New Roman"/>
                <w:bCs/>
                <w:sz w:val="20"/>
                <w:szCs w:val="20"/>
              </w:rPr>
              <w:t>Statin Prescribed at Discharge (AMI 10)</w:t>
            </w:r>
          </w:p>
        </w:tc>
        <w:tc>
          <w:tcPr>
            <w:tcW w:w="1219" w:type="dxa"/>
            <w:shd w:val="clear" w:color="auto" w:fill="D3DFEE"/>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AMI</w:t>
            </w:r>
          </w:p>
        </w:tc>
        <w:tc>
          <w:tcPr>
            <w:tcW w:w="886" w:type="dxa"/>
            <w:gridSpan w:val="2"/>
            <w:shd w:val="clear" w:color="auto" w:fill="D3DFEE"/>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639</w:t>
            </w:r>
          </w:p>
        </w:tc>
      </w:tr>
      <w:tr w:rsidR="00C35BEA" w:rsidRPr="00D81026" w:rsidTr="00A447E9">
        <w:tblPrEx>
          <w:tblLook w:val="04A0" w:firstRow="1" w:lastRow="0" w:firstColumn="1" w:lastColumn="0" w:noHBand="0" w:noVBand="1"/>
        </w:tblPrEx>
        <w:trPr>
          <w:gridAfter w:val="1"/>
          <w:wAfter w:w="12" w:type="dxa"/>
          <w:trHeight w:val="70"/>
        </w:trPr>
        <w:tc>
          <w:tcPr>
            <w:tcW w:w="7753" w:type="dxa"/>
            <w:gridSpan w:val="2"/>
            <w:shd w:val="clear" w:color="auto" w:fill="auto"/>
          </w:tcPr>
          <w:p w:rsidR="00A447E9" w:rsidRPr="00A447E9" w:rsidRDefault="00A447E9" w:rsidP="008A301C">
            <w:pPr>
              <w:rPr>
                <w:rFonts w:ascii="Times New Roman" w:eastAsia="Times New Roman" w:hAnsi="Times New Roman"/>
                <w:b/>
                <w:bCs/>
                <w:sz w:val="20"/>
                <w:szCs w:val="20"/>
              </w:rPr>
            </w:pPr>
            <w:r w:rsidRPr="00A447E9">
              <w:rPr>
                <w:rFonts w:ascii="Times New Roman" w:eastAsia="Times New Roman" w:hAnsi="Times New Roman"/>
                <w:bCs/>
                <w:sz w:val="20"/>
                <w:szCs w:val="20"/>
              </w:rPr>
              <w:t>Hospital Consumer Assessment of Healthcare Providers and Systems (HCAHPS) (Includes 13 measures: 10 HCAHPS and CTM-3)</w:t>
            </w:r>
          </w:p>
        </w:tc>
        <w:tc>
          <w:tcPr>
            <w:tcW w:w="1219" w:type="dxa"/>
            <w:shd w:val="clear" w:color="auto" w:fill="auto"/>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CAHPS</w:t>
            </w:r>
          </w:p>
        </w:tc>
        <w:tc>
          <w:tcPr>
            <w:tcW w:w="886" w:type="dxa"/>
            <w:gridSpan w:val="2"/>
            <w:shd w:val="clear" w:color="auto" w:fill="auto"/>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166/228</w:t>
            </w:r>
          </w:p>
        </w:tc>
      </w:tr>
      <w:tr w:rsidR="00A447E9" w:rsidRPr="00D81026" w:rsidTr="00A447E9">
        <w:tblPrEx>
          <w:tblLook w:val="04A0" w:firstRow="1" w:lastRow="0" w:firstColumn="1" w:lastColumn="0" w:noHBand="0" w:noVBand="1"/>
        </w:tblPrEx>
        <w:trPr>
          <w:gridAfter w:val="1"/>
          <w:wAfter w:w="12" w:type="dxa"/>
          <w:trHeight w:val="70"/>
        </w:trPr>
        <w:tc>
          <w:tcPr>
            <w:tcW w:w="7753" w:type="dxa"/>
            <w:gridSpan w:val="2"/>
            <w:shd w:val="clear" w:color="auto" w:fill="D3DFEE"/>
          </w:tcPr>
          <w:p w:rsidR="00A447E9" w:rsidRPr="00A447E9" w:rsidRDefault="00A447E9" w:rsidP="008A301C">
            <w:pPr>
              <w:rPr>
                <w:rFonts w:ascii="Times New Roman" w:eastAsia="Times New Roman" w:hAnsi="Times New Roman"/>
                <w:b/>
                <w:bCs/>
                <w:sz w:val="20"/>
                <w:szCs w:val="20"/>
              </w:rPr>
            </w:pPr>
            <w:r w:rsidRPr="00A447E9">
              <w:rPr>
                <w:rFonts w:ascii="Times New Roman" w:eastAsia="Times New Roman" w:hAnsi="Times New Roman"/>
                <w:bCs/>
                <w:sz w:val="20"/>
                <w:szCs w:val="20"/>
              </w:rPr>
              <w:t>Computerized physician order entry standards</w:t>
            </w:r>
          </w:p>
        </w:tc>
        <w:tc>
          <w:tcPr>
            <w:tcW w:w="1219" w:type="dxa"/>
            <w:shd w:val="clear" w:color="auto" w:fill="D3DFEE"/>
          </w:tcPr>
          <w:p w:rsidR="00A447E9" w:rsidRPr="00A447E9" w:rsidRDefault="004B76E8" w:rsidP="00A447E9">
            <w:pPr>
              <w:jc w:val="center"/>
              <w:rPr>
                <w:rFonts w:ascii="Times New Roman" w:eastAsia="Times New Roman" w:hAnsi="Times New Roman"/>
                <w:sz w:val="20"/>
                <w:szCs w:val="20"/>
              </w:rPr>
            </w:pPr>
            <w:r>
              <w:rPr>
                <w:rFonts w:ascii="Times New Roman" w:eastAsia="Times New Roman" w:hAnsi="Times New Roman"/>
                <w:sz w:val="20"/>
                <w:szCs w:val="20"/>
              </w:rPr>
              <w:t>Leapfrog</w:t>
            </w:r>
          </w:p>
        </w:tc>
        <w:tc>
          <w:tcPr>
            <w:tcW w:w="886" w:type="dxa"/>
            <w:gridSpan w:val="2"/>
            <w:shd w:val="clear" w:color="auto" w:fill="D3DFEE"/>
          </w:tcPr>
          <w:p w:rsidR="00A447E9" w:rsidRPr="00A447E9" w:rsidRDefault="00A447E9" w:rsidP="00A447E9">
            <w:pPr>
              <w:jc w:val="center"/>
              <w:rPr>
                <w:rFonts w:ascii="Times New Roman" w:eastAsia="Times New Roman" w:hAnsi="Times New Roman"/>
                <w:sz w:val="20"/>
                <w:szCs w:val="20"/>
              </w:rPr>
            </w:pPr>
          </w:p>
        </w:tc>
      </w:tr>
      <w:tr w:rsidR="00C35BEA" w:rsidRPr="00D81026" w:rsidTr="00A447E9">
        <w:tblPrEx>
          <w:tblLook w:val="04A0" w:firstRow="1" w:lastRow="0" w:firstColumn="1" w:lastColumn="0" w:noHBand="0" w:noVBand="1"/>
        </w:tblPrEx>
        <w:trPr>
          <w:gridAfter w:val="1"/>
          <w:wAfter w:w="12" w:type="dxa"/>
          <w:trHeight w:val="70"/>
        </w:trPr>
        <w:tc>
          <w:tcPr>
            <w:tcW w:w="7753" w:type="dxa"/>
            <w:gridSpan w:val="2"/>
            <w:shd w:val="clear" w:color="auto" w:fill="auto"/>
          </w:tcPr>
          <w:p w:rsidR="00A447E9" w:rsidRPr="00A447E9" w:rsidRDefault="00A447E9" w:rsidP="008A301C">
            <w:pPr>
              <w:rPr>
                <w:rFonts w:ascii="Times New Roman" w:eastAsia="Times New Roman" w:hAnsi="Times New Roman"/>
                <w:b/>
                <w:bCs/>
                <w:sz w:val="20"/>
                <w:szCs w:val="20"/>
              </w:rPr>
            </w:pPr>
            <w:r w:rsidRPr="00A447E9">
              <w:rPr>
                <w:rFonts w:ascii="Times New Roman" w:eastAsia="Times New Roman" w:hAnsi="Times New Roman"/>
                <w:bCs/>
                <w:sz w:val="20"/>
                <w:szCs w:val="20"/>
              </w:rPr>
              <w:t>Rate of Babies Electively Delivered Before Full-Term</w:t>
            </w:r>
          </w:p>
        </w:tc>
        <w:tc>
          <w:tcPr>
            <w:tcW w:w="1219" w:type="dxa"/>
            <w:shd w:val="clear" w:color="auto" w:fill="auto"/>
          </w:tcPr>
          <w:p w:rsidR="00A447E9" w:rsidRPr="00A447E9" w:rsidRDefault="004B76E8" w:rsidP="00A447E9">
            <w:pPr>
              <w:jc w:val="center"/>
              <w:rPr>
                <w:rFonts w:ascii="Times New Roman" w:eastAsia="Times New Roman" w:hAnsi="Times New Roman"/>
                <w:sz w:val="20"/>
                <w:szCs w:val="20"/>
              </w:rPr>
            </w:pPr>
            <w:r>
              <w:rPr>
                <w:rFonts w:ascii="Times New Roman" w:eastAsia="Times New Roman" w:hAnsi="Times New Roman"/>
                <w:sz w:val="20"/>
                <w:szCs w:val="20"/>
              </w:rPr>
              <w:t>Leapfrog</w:t>
            </w:r>
          </w:p>
        </w:tc>
        <w:tc>
          <w:tcPr>
            <w:tcW w:w="886" w:type="dxa"/>
            <w:gridSpan w:val="2"/>
            <w:shd w:val="clear" w:color="auto" w:fill="auto"/>
          </w:tcPr>
          <w:p w:rsidR="00A447E9" w:rsidRPr="00A447E9" w:rsidRDefault="00A447E9" w:rsidP="00A447E9">
            <w:pPr>
              <w:jc w:val="center"/>
              <w:rPr>
                <w:rFonts w:ascii="Times New Roman" w:eastAsia="Times New Roman" w:hAnsi="Times New Roman"/>
                <w:sz w:val="20"/>
                <w:szCs w:val="20"/>
              </w:rPr>
            </w:pPr>
          </w:p>
        </w:tc>
      </w:tr>
      <w:tr w:rsidR="00A447E9" w:rsidRPr="00D81026" w:rsidTr="00A447E9">
        <w:tblPrEx>
          <w:tblLook w:val="04A0" w:firstRow="1" w:lastRow="0" w:firstColumn="1" w:lastColumn="0" w:noHBand="0" w:noVBand="1"/>
        </w:tblPrEx>
        <w:trPr>
          <w:gridAfter w:val="1"/>
          <w:wAfter w:w="12" w:type="dxa"/>
          <w:trHeight w:val="70"/>
        </w:trPr>
        <w:tc>
          <w:tcPr>
            <w:tcW w:w="7753" w:type="dxa"/>
            <w:gridSpan w:val="2"/>
            <w:shd w:val="clear" w:color="auto" w:fill="D3DFEE"/>
          </w:tcPr>
          <w:p w:rsidR="00A447E9" w:rsidRPr="00A447E9" w:rsidRDefault="00A447E9" w:rsidP="008A301C">
            <w:pPr>
              <w:rPr>
                <w:rFonts w:ascii="Times New Roman" w:eastAsia="Times New Roman" w:hAnsi="Times New Roman"/>
                <w:b/>
                <w:bCs/>
                <w:sz w:val="20"/>
                <w:szCs w:val="20"/>
              </w:rPr>
            </w:pPr>
            <w:r w:rsidRPr="00A447E9">
              <w:rPr>
                <w:rFonts w:ascii="Times New Roman" w:eastAsia="Times New Roman" w:hAnsi="Times New Roman"/>
                <w:bCs/>
                <w:sz w:val="20"/>
                <w:szCs w:val="20"/>
              </w:rPr>
              <w:t>Hospice and Palliative Care – Treatment Preferences</w:t>
            </w:r>
          </w:p>
        </w:tc>
        <w:tc>
          <w:tcPr>
            <w:tcW w:w="1219" w:type="dxa"/>
            <w:shd w:val="clear" w:color="auto" w:fill="D3DFEE"/>
          </w:tcPr>
          <w:p w:rsidR="00A447E9" w:rsidRPr="00A447E9" w:rsidRDefault="00A447E9" w:rsidP="00A447E9">
            <w:pPr>
              <w:jc w:val="center"/>
              <w:rPr>
                <w:rFonts w:ascii="Times New Roman" w:eastAsia="Times New Roman" w:hAnsi="Times New Roman"/>
                <w:sz w:val="20"/>
                <w:szCs w:val="20"/>
              </w:rPr>
            </w:pPr>
          </w:p>
        </w:tc>
        <w:tc>
          <w:tcPr>
            <w:tcW w:w="886" w:type="dxa"/>
            <w:gridSpan w:val="2"/>
            <w:shd w:val="clear" w:color="auto" w:fill="D3DFEE"/>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1641</w:t>
            </w:r>
          </w:p>
        </w:tc>
      </w:tr>
      <w:tr w:rsidR="00C35BEA" w:rsidRPr="00D81026" w:rsidTr="00A447E9">
        <w:tblPrEx>
          <w:tblLook w:val="04A0" w:firstRow="1" w:lastRow="0" w:firstColumn="1" w:lastColumn="0" w:noHBand="0" w:noVBand="1"/>
        </w:tblPrEx>
        <w:trPr>
          <w:gridAfter w:val="1"/>
          <w:wAfter w:w="12" w:type="dxa"/>
          <w:trHeight w:val="70"/>
        </w:trPr>
        <w:tc>
          <w:tcPr>
            <w:tcW w:w="7753" w:type="dxa"/>
            <w:gridSpan w:val="2"/>
            <w:shd w:val="clear" w:color="auto" w:fill="auto"/>
          </w:tcPr>
          <w:p w:rsidR="00A447E9" w:rsidRPr="00A447E9" w:rsidRDefault="00A447E9" w:rsidP="008A301C">
            <w:pPr>
              <w:rPr>
                <w:rFonts w:ascii="Times New Roman" w:eastAsia="Times New Roman" w:hAnsi="Times New Roman"/>
                <w:b/>
                <w:bCs/>
                <w:sz w:val="20"/>
                <w:szCs w:val="20"/>
              </w:rPr>
            </w:pPr>
            <w:r w:rsidRPr="00A447E9">
              <w:rPr>
                <w:rFonts w:ascii="Times New Roman" w:eastAsia="Times New Roman" w:hAnsi="Times New Roman"/>
                <w:bCs/>
                <w:sz w:val="20"/>
                <w:szCs w:val="20"/>
              </w:rPr>
              <w:t>Pressure Ulcer Rate (PSI 3)</w:t>
            </w:r>
          </w:p>
        </w:tc>
        <w:tc>
          <w:tcPr>
            <w:tcW w:w="1219" w:type="dxa"/>
            <w:shd w:val="clear" w:color="auto" w:fill="auto"/>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PSI</w:t>
            </w:r>
          </w:p>
        </w:tc>
        <w:tc>
          <w:tcPr>
            <w:tcW w:w="886" w:type="dxa"/>
            <w:gridSpan w:val="2"/>
            <w:shd w:val="clear" w:color="auto" w:fill="auto"/>
          </w:tcPr>
          <w:p w:rsidR="00A447E9" w:rsidRPr="00A447E9" w:rsidRDefault="00A447E9" w:rsidP="00A447E9">
            <w:pPr>
              <w:jc w:val="center"/>
              <w:rPr>
                <w:rFonts w:ascii="Times New Roman" w:eastAsia="Times New Roman" w:hAnsi="Times New Roman"/>
                <w:sz w:val="20"/>
                <w:szCs w:val="20"/>
              </w:rPr>
            </w:pPr>
          </w:p>
        </w:tc>
      </w:tr>
      <w:tr w:rsidR="00A447E9" w:rsidRPr="00D81026" w:rsidTr="00A447E9">
        <w:tblPrEx>
          <w:tblLook w:val="04A0" w:firstRow="1" w:lastRow="0" w:firstColumn="1" w:lastColumn="0" w:noHBand="0" w:noVBand="1"/>
        </w:tblPrEx>
        <w:trPr>
          <w:gridAfter w:val="1"/>
          <w:wAfter w:w="12" w:type="dxa"/>
          <w:trHeight w:val="70"/>
        </w:trPr>
        <w:tc>
          <w:tcPr>
            <w:tcW w:w="7753" w:type="dxa"/>
            <w:gridSpan w:val="2"/>
            <w:shd w:val="clear" w:color="auto" w:fill="D3DFEE"/>
          </w:tcPr>
          <w:p w:rsidR="00A447E9" w:rsidRPr="00A447E9" w:rsidRDefault="00A447E9" w:rsidP="008A301C">
            <w:pPr>
              <w:rPr>
                <w:rFonts w:ascii="Times New Roman" w:eastAsia="Times New Roman" w:hAnsi="Times New Roman"/>
                <w:b/>
                <w:bCs/>
                <w:sz w:val="20"/>
                <w:szCs w:val="20"/>
              </w:rPr>
            </w:pPr>
            <w:r w:rsidRPr="00A447E9">
              <w:rPr>
                <w:rFonts w:ascii="Times New Roman" w:eastAsia="Times New Roman" w:hAnsi="Times New Roman"/>
                <w:bCs/>
                <w:sz w:val="20"/>
                <w:szCs w:val="20"/>
              </w:rPr>
              <w:t>Iatrogenic Pneumothorax Rate (PSI 6)</w:t>
            </w:r>
          </w:p>
        </w:tc>
        <w:tc>
          <w:tcPr>
            <w:tcW w:w="1219" w:type="dxa"/>
            <w:shd w:val="clear" w:color="auto" w:fill="D3DFEE"/>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PSI</w:t>
            </w:r>
          </w:p>
        </w:tc>
        <w:tc>
          <w:tcPr>
            <w:tcW w:w="886" w:type="dxa"/>
            <w:gridSpan w:val="2"/>
            <w:shd w:val="clear" w:color="auto" w:fill="D3DFEE"/>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346</w:t>
            </w:r>
          </w:p>
        </w:tc>
      </w:tr>
      <w:tr w:rsidR="00C35BEA" w:rsidRPr="00D81026" w:rsidTr="00A447E9">
        <w:tblPrEx>
          <w:tblLook w:val="04A0" w:firstRow="1" w:lastRow="0" w:firstColumn="1" w:lastColumn="0" w:noHBand="0" w:noVBand="1"/>
        </w:tblPrEx>
        <w:trPr>
          <w:gridAfter w:val="1"/>
          <w:wAfter w:w="12" w:type="dxa"/>
          <w:trHeight w:val="70"/>
        </w:trPr>
        <w:tc>
          <w:tcPr>
            <w:tcW w:w="7753" w:type="dxa"/>
            <w:gridSpan w:val="2"/>
            <w:shd w:val="clear" w:color="auto" w:fill="auto"/>
          </w:tcPr>
          <w:p w:rsidR="00A447E9" w:rsidRPr="00A447E9" w:rsidRDefault="00A447E9" w:rsidP="008A301C">
            <w:pPr>
              <w:rPr>
                <w:rFonts w:ascii="Times New Roman" w:eastAsia="Times New Roman" w:hAnsi="Times New Roman"/>
                <w:b/>
                <w:bCs/>
                <w:sz w:val="20"/>
                <w:szCs w:val="20"/>
              </w:rPr>
            </w:pPr>
            <w:r w:rsidRPr="00A447E9">
              <w:rPr>
                <w:rFonts w:ascii="Times New Roman" w:eastAsia="Times New Roman" w:hAnsi="Times New Roman"/>
                <w:bCs/>
                <w:sz w:val="20"/>
                <w:szCs w:val="20"/>
              </w:rPr>
              <w:t>Central Venous Catheter-related Blood Stream Infection Rate (PSI 7)</w:t>
            </w:r>
          </w:p>
        </w:tc>
        <w:tc>
          <w:tcPr>
            <w:tcW w:w="1219" w:type="dxa"/>
            <w:shd w:val="clear" w:color="auto" w:fill="auto"/>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PSI</w:t>
            </w:r>
          </w:p>
        </w:tc>
        <w:tc>
          <w:tcPr>
            <w:tcW w:w="886" w:type="dxa"/>
            <w:gridSpan w:val="2"/>
            <w:shd w:val="clear" w:color="auto" w:fill="auto"/>
          </w:tcPr>
          <w:p w:rsidR="00A447E9" w:rsidRPr="00A447E9" w:rsidRDefault="00A447E9" w:rsidP="00A447E9">
            <w:pPr>
              <w:jc w:val="center"/>
              <w:rPr>
                <w:rFonts w:ascii="Times New Roman" w:eastAsia="Times New Roman" w:hAnsi="Times New Roman"/>
                <w:sz w:val="20"/>
                <w:szCs w:val="20"/>
              </w:rPr>
            </w:pPr>
          </w:p>
        </w:tc>
      </w:tr>
      <w:tr w:rsidR="00A447E9" w:rsidRPr="00D81026" w:rsidTr="00A447E9">
        <w:tblPrEx>
          <w:tblLook w:val="04A0" w:firstRow="1" w:lastRow="0" w:firstColumn="1" w:lastColumn="0" w:noHBand="0" w:noVBand="1"/>
        </w:tblPrEx>
        <w:trPr>
          <w:gridAfter w:val="1"/>
          <w:wAfter w:w="12" w:type="dxa"/>
          <w:trHeight w:val="70"/>
        </w:trPr>
        <w:tc>
          <w:tcPr>
            <w:tcW w:w="7753" w:type="dxa"/>
            <w:gridSpan w:val="2"/>
            <w:shd w:val="clear" w:color="auto" w:fill="D3DFEE"/>
          </w:tcPr>
          <w:p w:rsidR="00A447E9" w:rsidRPr="00A447E9" w:rsidRDefault="00A447E9" w:rsidP="008A301C">
            <w:pPr>
              <w:rPr>
                <w:rFonts w:ascii="Times New Roman" w:eastAsia="Times New Roman" w:hAnsi="Times New Roman"/>
                <w:b/>
                <w:bCs/>
                <w:sz w:val="20"/>
                <w:szCs w:val="20"/>
              </w:rPr>
            </w:pPr>
            <w:r w:rsidRPr="00A447E9">
              <w:rPr>
                <w:rFonts w:ascii="Times New Roman" w:eastAsia="Times New Roman" w:hAnsi="Times New Roman"/>
                <w:bCs/>
                <w:sz w:val="20"/>
                <w:szCs w:val="20"/>
              </w:rPr>
              <w:t>Post-operative Respiratory Failure Rate (PSI 11)</w:t>
            </w:r>
          </w:p>
        </w:tc>
        <w:tc>
          <w:tcPr>
            <w:tcW w:w="1219" w:type="dxa"/>
            <w:shd w:val="clear" w:color="auto" w:fill="D3DFEE"/>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PSI</w:t>
            </w:r>
          </w:p>
        </w:tc>
        <w:tc>
          <w:tcPr>
            <w:tcW w:w="886" w:type="dxa"/>
            <w:gridSpan w:val="2"/>
            <w:shd w:val="clear" w:color="auto" w:fill="D3DFEE"/>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533</w:t>
            </w:r>
          </w:p>
        </w:tc>
      </w:tr>
      <w:tr w:rsidR="00C35BEA" w:rsidRPr="00D81026" w:rsidTr="00A447E9">
        <w:tblPrEx>
          <w:tblLook w:val="04A0" w:firstRow="1" w:lastRow="0" w:firstColumn="1" w:lastColumn="0" w:noHBand="0" w:noVBand="1"/>
        </w:tblPrEx>
        <w:trPr>
          <w:gridAfter w:val="1"/>
          <w:wAfter w:w="12" w:type="dxa"/>
          <w:trHeight w:val="70"/>
        </w:trPr>
        <w:tc>
          <w:tcPr>
            <w:tcW w:w="7753" w:type="dxa"/>
            <w:gridSpan w:val="2"/>
            <w:shd w:val="clear" w:color="auto" w:fill="auto"/>
          </w:tcPr>
          <w:p w:rsidR="00A447E9" w:rsidRPr="00A447E9" w:rsidRDefault="00A447E9" w:rsidP="008A301C">
            <w:pPr>
              <w:rPr>
                <w:rFonts w:ascii="Times New Roman" w:eastAsia="Times New Roman" w:hAnsi="Times New Roman"/>
                <w:b/>
                <w:bCs/>
                <w:sz w:val="20"/>
                <w:szCs w:val="20"/>
              </w:rPr>
            </w:pPr>
            <w:r w:rsidRPr="00A447E9">
              <w:rPr>
                <w:rFonts w:ascii="Times New Roman" w:eastAsia="Times New Roman" w:hAnsi="Times New Roman"/>
                <w:bCs/>
                <w:sz w:val="20"/>
                <w:szCs w:val="20"/>
              </w:rPr>
              <w:t>Post-operative Pulmonary Embolism or Deep Vein Thrombosis (PE/DVT) Rate (PSI 12)</w:t>
            </w:r>
          </w:p>
        </w:tc>
        <w:tc>
          <w:tcPr>
            <w:tcW w:w="1219" w:type="dxa"/>
            <w:shd w:val="clear" w:color="auto" w:fill="auto"/>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PSI</w:t>
            </w:r>
          </w:p>
        </w:tc>
        <w:tc>
          <w:tcPr>
            <w:tcW w:w="886" w:type="dxa"/>
            <w:gridSpan w:val="2"/>
            <w:shd w:val="clear" w:color="auto" w:fill="auto"/>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450</w:t>
            </w:r>
          </w:p>
        </w:tc>
      </w:tr>
      <w:tr w:rsidR="00A447E9" w:rsidRPr="00D81026" w:rsidTr="00A447E9">
        <w:tblPrEx>
          <w:tblLook w:val="04A0" w:firstRow="1" w:lastRow="0" w:firstColumn="1" w:lastColumn="0" w:noHBand="0" w:noVBand="1"/>
        </w:tblPrEx>
        <w:trPr>
          <w:gridAfter w:val="1"/>
          <w:wAfter w:w="12" w:type="dxa"/>
          <w:trHeight w:val="70"/>
        </w:trPr>
        <w:tc>
          <w:tcPr>
            <w:tcW w:w="7753" w:type="dxa"/>
            <w:gridSpan w:val="2"/>
            <w:shd w:val="clear" w:color="auto" w:fill="D3DFEE"/>
          </w:tcPr>
          <w:p w:rsidR="00A447E9" w:rsidRPr="00A447E9" w:rsidRDefault="00A447E9" w:rsidP="008A301C">
            <w:pPr>
              <w:rPr>
                <w:rFonts w:ascii="Times New Roman" w:eastAsia="Times New Roman" w:hAnsi="Times New Roman"/>
                <w:b/>
                <w:bCs/>
                <w:sz w:val="20"/>
                <w:szCs w:val="20"/>
              </w:rPr>
            </w:pPr>
            <w:r w:rsidRPr="00A447E9">
              <w:rPr>
                <w:rFonts w:ascii="Times New Roman" w:eastAsia="Times New Roman" w:hAnsi="Times New Roman"/>
                <w:bCs/>
                <w:sz w:val="20"/>
                <w:szCs w:val="20"/>
              </w:rPr>
              <w:t>Accidental Puncture or Laceration Rate (PSI 15)</w:t>
            </w:r>
          </w:p>
        </w:tc>
        <w:tc>
          <w:tcPr>
            <w:tcW w:w="1219" w:type="dxa"/>
            <w:shd w:val="clear" w:color="auto" w:fill="D3DFEE"/>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PSI</w:t>
            </w:r>
          </w:p>
        </w:tc>
        <w:tc>
          <w:tcPr>
            <w:tcW w:w="886" w:type="dxa"/>
            <w:gridSpan w:val="2"/>
            <w:shd w:val="clear" w:color="auto" w:fill="D3DFEE"/>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345</w:t>
            </w:r>
          </w:p>
        </w:tc>
      </w:tr>
      <w:tr w:rsidR="00C35BEA" w:rsidRPr="00D81026" w:rsidTr="00A447E9">
        <w:tblPrEx>
          <w:tblLook w:val="04A0" w:firstRow="1" w:lastRow="0" w:firstColumn="1" w:lastColumn="0" w:noHBand="0" w:noVBand="1"/>
        </w:tblPrEx>
        <w:trPr>
          <w:gridAfter w:val="1"/>
          <w:wAfter w:w="12" w:type="dxa"/>
          <w:trHeight w:val="70"/>
        </w:trPr>
        <w:tc>
          <w:tcPr>
            <w:tcW w:w="7753" w:type="dxa"/>
            <w:gridSpan w:val="2"/>
            <w:shd w:val="clear" w:color="auto" w:fill="auto"/>
          </w:tcPr>
          <w:p w:rsidR="00A447E9" w:rsidRPr="00A447E9" w:rsidRDefault="00A447E9" w:rsidP="008A301C">
            <w:pPr>
              <w:rPr>
                <w:rFonts w:ascii="Times New Roman" w:eastAsia="Times New Roman" w:hAnsi="Times New Roman"/>
                <w:b/>
                <w:bCs/>
                <w:sz w:val="20"/>
                <w:szCs w:val="20"/>
              </w:rPr>
            </w:pPr>
            <w:r w:rsidRPr="00A447E9">
              <w:rPr>
                <w:rFonts w:ascii="Times New Roman" w:eastAsia="Times New Roman" w:hAnsi="Times New Roman"/>
                <w:bCs/>
                <w:sz w:val="20"/>
                <w:szCs w:val="20"/>
              </w:rPr>
              <w:t>Post-operative Hip Fracture Rate (PSI 8)</w:t>
            </w:r>
          </w:p>
        </w:tc>
        <w:tc>
          <w:tcPr>
            <w:tcW w:w="1219" w:type="dxa"/>
            <w:shd w:val="clear" w:color="auto" w:fill="auto"/>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PSI</w:t>
            </w:r>
          </w:p>
        </w:tc>
        <w:tc>
          <w:tcPr>
            <w:tcW w:w="886" w:type="dxa"/>
            <w:gridSpan w:val="2"/>
            <w:shd w:val="clear" w:color="auto" w:fill="auto"/>
          </w:tcPr>
          <w:p w:rsidR="00A447E9" w:rsidRPr="00A447E9" w:rsidRDefault="00A447E9" w:rsidP="00A447E9">
            <w:pPr>
              <w:jc w:val="center"/>
              <w:rPr>
                <w:rFonts w:ascii="Times New Roman" w:eastAsia="Times New Roman" w:hAnsi="Times New Roman"/>
                <w:sz w:val="20"/>
                <w:szCs w:val="20"/>
              </w:rPr>
            </w:pPr>
          </w:p>
        </w:tc>
      </w:tr>
      <w:tr w:rsidR="00A447E9" w:rsidRPr="00D81026" w:rsidTr="00A447E9">
        <w:tblPrEx>
          <w:tblLook w:val="04A0" w:firstRow="1" w:lastRow="0" w:firstColumn="1" w:lastColumn="0" w:noHBand="0" w:noVBand="1"/>
        </w:tblPrEx>
        <w:trPr>
          <w:gridAfter w:val="1"/>
          <w:wAfter w:w="12" w:type="dxa"/>
          <w:trHeight w:val="70"/>
        </w:trPr>
        <w:tc>
          <w:tcPr>
            <w:tcW w:w="7753" w:type="dxa"/>
            <w:gridSpan w:val="2"/>
            <w:shd w:val="clear" w:color="auto" w:fill="D3DFEE"/>
          </w:tcPr>
          <w:p w:rsidR="00A447E9" w:rsidRPr="00A447E9" w:rsidRDefault="00A447E9" w:rsidP="008A301C">
            <w:pPr>
              <w:rPr>
                <w:rFonts w:ascii="Times New Roman" w:eastAsia="Times New Roman" w:hAnsi="Times New Roman"/>
                <w:b/>
                <w:bCs/>
                <w:sz w:val="20"/>
                <w:szCs w:val="20"/>
              </w:rPr>
            </w:pPr>
            <w:r w:rsidRPr="00A447E9">
              <w:rPr>
                <w:rFonts w:ascii="Times New Roman" w:eastAsia="Times New Roman" w:hAnsi="Times New Roman"/>
                <w:bCs/>
                <w:sz w:val="20"/>
                <w:szCs w:val="20"/>
              </w:rPr>
              <w:t>Birth Trauma Rate: Injury to Neonates (PSI 17)</w:t>
            </w:r>
          </w:p>
        </w:tc>
        <w:tc>
          <w:tcPr>
            <w:tcW w:w="1219" w:type="dxa"/>
            <w:shd w:val="clear" w:color="auto" w:fill="D3DFEE"/>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PSI</w:t>
            </w:r>
          </w:p>
        </w:tc>
        <w:tc>
          <w:tcPr>
            <w:tcW w:w="886" w:type="dxa"/>
            <w:gridSpan w:val="2"/>
            <w:shd w:val="clear" w:color="auto" w:fill="D3DFEE"/>
          </w:tcPr>
          <w:p w:rsidR="00A447E9" w:rsidRPr="00A447E9" w:rsidRDefault="00A447E9" w:rsidP="00A447E9">
            <w:pPr>
              <w:jc w:val="center"/>
              <w:rPr>
                <w:rFonts w:ascii="Times New Roman" w:eastAsia="Times New Roman" w:hAnsi="Times New Roman"/>
                <w:sz w:val="20"/>
                <w:szCs w:val="20"/>
              </w:rPr>
            </w:pPr>
          </w:p>
        </w:tc>
      </w:tr>
      <w:tr w:rsidR="00C35BEA" w:rsidRPr="00D81026" w:rsidTr="00A447E9">
        <w:tblPrEx>
          <w:tblLook w:val="04A0" w:firstRow="1" w:lastRow="0" w:firstColumn="1" w:lastColumn="0" w:noHBand="0" w:noVBand="1"/>
        </w:tblPrEx>
        <w:trPr>
          <w:gridAfter w:val="1"/>
          <w:wAfter w:w="12" w:type="dxa"/>
          <w:trHeight w:val="70"/>
        </w:trPr>
        <w:tc>
          <w:tcPr>
            <w:tcW w:w="7753" w:type="dxa"/>
            <w:gridSpan w:val="2"/>
            <w:shd w:val="clear" w:color="auto" w:fill="auto"/>
          </w:tcPr>
          <w:p w:rsidR="00A447E9" w:rsidRPr="00A447E9" w:rsidRDefault="00A447E9" w:rsidP="008A301C">
            <w:pPr>
              <w:rPr>
                <w:rFonts w:ascii="Times New Roman" w:eastAsia="Times New Roman" w:hAnsi="Times New Roman"/>
                <w:b/>
                <w:bCs/>
                <w:sz w:val="20"/>
                <w:szCs w:val="20"/>
              </w:rPr>
            </w:pPr>
            <w:r w:rsidRPr="00A447E9">
              <w:rPr>
                <w:rFonts w:ascii="Times New Roman" w:eastAsia="Times New Roman" w:hAnsi="Times New Roman"/>
                <w:bCs/>
                <w:sz w:val="20"/>
                <w:szCs w:val="20"/>
              </w:rPr>
              <w:t>Obstetric Trauma: Vaginal Delivery with Instrument (PSI 18)</w:t>
            </w:r>
          </w:p>
        </w:tc>
        <w:tc>
          <w:tcPr>
            <w:tcW w:w="1219" w:type="dxa"/>
            <w:shd w:val="clear" w:color="auto" w:fill="auto"/>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PSI</w:t>
            </w:r>
          </w:p>
        </w:tc>
        <w:tc>
          <w:tcPr>
            <w:tcW w:w="886" w:type="dxa"/>
            <w:gridSpan w:val="2"/>
            <w:shd w:val="clear" w:color="auto" w:fill="auto"/>
          </w:tcPr>
          <w:p w:rsidR="00A447E9" w:rsidRPr="00A447E9" w:rsidRDefault="00A447E9" w:rsidP="00A447E9">
            <w:pPr>
              <w:jc w:val="center"/>
              <w:rPr>
                <w:rFonts w:ascii="Times New Roman" w:eastAsia="Times New Roman" w:hAnsi="Times New Roman"/>
                <w:sz w:val="20"/>
                <w:szCs w:val="20"/>
              </w:rPr>
            </w:pPr>
          </w:p>
        </w:tc>
      </w:tr>
      <w:tr w:rsidR="00A447E9" w:rsidRPr="00D81026" w:rsidTr="00A447E9">
        <w:tblPrEx>
          <w:tblLook w:val="04A0" w:firstRow="1" w:lastRow="0" w:firstColumn="1" w:lastColumn="0" w:noHBand="0" w:noVBand="1"/>
        </w:tblPrEx>
        <w:trPr>
          <w:gridAfter w:val="1"/>
          <w:wAfter w:w="12" w:type="dxa"/>
          <w:trHeight w:val="70"/>
        </w:trPr>
        <w:tc>
          <w:tcPr>
            <w:tcW w:w="7753" w:type="dxa"/>
            <w:gridSpan w:val="2"/>
            <w:shd w:val="clear" w:color="auto" w:fill="D3DFEE"/>
          </w:tcPr>
          <w:p w:rsidR="00A447E9" w:rsidRPr="00A447E9" w:rsidRDefault="00A447E9" w:rsidP="008A301C">
            <w:pPr>
              <w:rPr>
                <w:rFonts w:ascii="Times New Roman" w:eastAsia="Times New Roman" w:hAnsi="Times New Roman"/>
                <w:b/>
                <w:bCs/>
                <w:sz w:val="20"/>
                <w:szCs w:val="20"/>
              </w:rPr>
            </w:pPr>
            <w:r w:rsidRPr="00A447E9">
              <w:rPr>
                <w:rFonts w:ascii="Times New Roman" w:eastAsia="Times New Roman" w:hAnsi="Times New Roman"/>
                <w:bCs/>
                <w:sz w:val="20"/>
                <w:szCs w:val="20"/>
              </w:rPr>
              <w:t>Obstetric Trauma: Vaginal Delivery without Instrument (PSI 19)</w:t>
            </w:r>
          </w:p>
        </w:tc>
        <w:tc>
          <w:tcPr>
            <w:tcW w:w="1219" w:type="dxa"/>
            <w:shd w:val="clear" w:color="auto" w:fill="D3DFEE"/>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PSI</w:t>
            </w:r>
          </w:p>
        </w:tc>
        <w:tc>
          <w:tcPr>
            <w:tcW w:w="886" w:type="dxa"/>
            <w:gridSpan w:val="2"/>
            <w:shd w:val="clear" w:color="auto" w:fill="D3DFEE"/>
          </w:tcPr>
          <w:p w:rsidR="00A447E9" w:rsidRPr="00A447E9" w:rsidRDefault="00A447E9" w:rsidP="00A447E9">
            <w:pPr>
              <w:jc w:val="center"/>
              <w:rPr>
                <w:rFonts w:ascii="Times New Roman" w:eastAsia="Times New Roman" w:hAnsi="Times New Roman"/>
                <w:sz w:val="20"/>
                <w:szCs w:val="20"/>
              </w:rPr>
            </w:pPr>
          </w:p>
        </w:tc>
      </w:tr>
      <w:tr w:rsidR="00C35BEA" w:rsidRPr="00D81026" w:rsidTr="00A447E9">
        <w:tblPrEx>
          <w:tblLook w:val="04A0" w:firstRow="1" w:lastRow="0" w:firstColumn="1" w:lastColumn="0" w:noHBand="0" w:noVBand="1"/>
        </w:tblPrEx>
        <w:trPr>
          <w:gridAfter w:val="1"/>
          <w:wAfter w:w="12" w:type="dxa"/>
          <w:trHeight w:val="70"/>
        </w:trPr>
        <w:tc>
          <w:tcPr>
            <w:tcW w:w="7753" w:type="dxa"/>
            <w:gridSpan w:val="2"/>
            <w:shd w:val="clear" w:color="auto" w:fill="auto"/>
          </w:tcPr>
          <w:p w:rsidR="00A447E9" w:rsidRPr="00A447E9" w:rsidRDefault="00A447E9" w:rsidP="008A301C">
            <w:pPr>
              <w:rPr>
                <w:rFonts w:ascii="Times New Roman" w:eastAsia="Times New Roman" w:hAnsi="Times New Roman"/>
                <w:b/>
                <w:bCs/>
                <w:sz w:val="20"/>
                <w:szCs w:val="20"/>
              </w:rPr>
            </w:pPr>
            <w:r w:rsidRPr="00A447E9">
              <w:rPr>
                <w:rFonts w:ascii="Times New Roman" w:eastAsia="Times New Roman" w:hAnsi="Times New Roman"/>
                <w:bCs/>
                <w:sz w:val="20"/>
                <w:szCs w:val="20"/>
              </w:rPr>
              <w:t>Patients discharged on multiple antipsychotic medications (HBIPS 4)</w:t>
            </w:r>
          </w:p>
        </w:tc>
        <w:tc>
          <w:tcPr>
            <w:tcW w:w="1219" w:type="dxa"/>
            <w:shd w:val="clear" w:color="auto" w:fill="auto"/>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HBIPS</w:t>
            </w:r>
          </w:p>
        </w:tc>
        <w:tc>
          <w:tcPr>
            <w:tcW w:w="886" w:type="dxa"/>
            <w:gridSpan w:val="2"/>
            <w:shd w:val="clear" w:color="auto" w:fill="auto"/>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552</w:t>
            </w:r>
          </w:p>
        </w:tc>
      </w:tr>
      <w:tr w:rsidR="004B76E8" w:rsidRPr="00D81026" w:rsidTr="005913E0">
        <w:tblPrEx>
          <w:tblLook w:val="04A0" w:firstRow="1" w:lastRow="0" w:firstColumn="1" w:lastColumn="0" w:noHBand="0" w:noVBand="1"/>
        </w:tblPrEx>
        <w:trPr>
          <w:trHeight w:val="146"/>
        </w:trPr>
        <w:tc>
          <w:tcPr>
            <w:tcW w:w="9870" w:type="dxa"/>
            <w:gridSpan w:val="6"/>
            <w:shd w:val="clear" w:color="auto" w:fill="D3DFEE"/>
          </w:tcPr>
          <w:p w:rsidR="004B76E8" w:rsidRPr="004B76E8" w:rsidRDefault="004B76E8" w:rsidP="00A447E9">
            <w:pPr>
              <w:jc w:val="center"/>
              <w:rPr>
                <w:rFonts w:ascii="Times New Roman" w:eastAsia="Times New Roman" w:hAnsi="Times New Roman"/>
                <w:b/>
                <w:sz w:val="20"/>
                <w:szCs w:val="20"/>
              </w:rPr>
            </w:pPr>
            <w:r w:rsidRPr="004B76E8">
              <w:rPr>
                <w:rFonts w:ascii="Times New Roman" w:eastAsia="Times New Roman" w:hAnsi="Times New Roman"/>
                <w:b/>
                <w:bCs/>
                <w:sz w:val="20"/>
                <w:szCs w:val="20"/>
              </w:rPr>
              <w:t>Home Health Agencies</w:t>
            </w:r>
          </w:p>
        </w:tc>
      </w:tr>
      <w:tr w:rsidR="00A447E9" w:rsidRPr="00D81026" w:rsidTr="00A447E9">
        <w:tblPrEx>
          <w:tblLook w:val="04A0" w:firstRow="1" w:lastRow="0" w:firstColumn="1" w:lastColumn="0" w:noHBand="0" w:noVBand="1"/>
        </w:tblPrEx>
        <w:trPr>
          <w:trHeight w:val="146"/>
        </w:trPr>
        <w:tc>
          <w:tcPr>
            <w:tcW w:w="7753" w:type="dxa"/>
            <w:gridSpan w:val="2"/>
            <w:shd w:val="clear" w:color="auto" w:fill="D3DFEE"/>
          </w:tcPr>
          <w:p w:rsidR="00A447E9" w:rsidRPr="00A447E9" w:rsidRDefault="00A447E9" w:rsidP="008A301C">
            <w:pPr>
              <w:rPr>
                <w:rFonts w:ascii="Times New Roman" w:eastAsia="Times New Roman" w:hAnsi="Times New Roman"/>
                <w:b/>
                <w:bCs/>
                <w:sz w:val="20"/>
                <w:szCs w:val="20"/>
              </w:rPr>
            </w:pPr>
            <w:r w:rsidRPr="00A447E9">
              <w:rPr>
                <w:rFonts w:ascii="Times New Roman" w:eastAsia="Times New Roman" w:hAnsi="Times New Roman"/>
                <w:bCs/>
                <w:sz w:val="20"/>
                <w:szCs w:val="20"/>
              </w:rPr>
              <w:t>Acute care hospitalization (risk-adjusted)</w:t>
            </w:r>
          </w:p>
        </w:tc>
        <w:tc>
          <w:tcPr>
            <w:tcW w:w="1230" w:type="dxa"/>
            <w:gridSpan w:val="2"/>
            <w:shd w:val="clear" w:color="auto" w:fill="D3DFEE"/>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OASIS</w:t>
            </w:r>
          </w:p>
        </w:tc>
        <w:tc>
          <w:tcPr>
            <w:tcW w:w="887" w:type="dxa"/>
            <w:gridSpan w:val="2"/>
            <w:shd w:val="clear" w:color="auto" w:fill="D3DFEE"/>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171</w:t>
            </w:r>
          </w:p>
        </w:tc>
      </w:tr>
      <w:tr w:rsidR="00C35BEA" w:rsidRPr="00D81026" w:rsidTr="00A447E9">
        <w:tblPrEx>
          <w:tblLook w:val="04A0" w:firstRow="1" w:lastRow="0" w:firstColumn="1" w:lastColumn="0" w:noHBand="0" w:noVBand="1"/>
        </w:tblPrEx>
        <w:trPr>
          <w:trHeight w:val="146"/>
        </w:trPr>
        <w:tc>
          <w:tcPr>
            <w:tcW w:w="7753" w:type="dxa"/>
            <w:gridSpan w:val="2"/>
            <w:shd w:val="clear" w:color="auto" w:fill="auto"/>
          </w:tcPr>
          <w:p w:rsidR="00A447E9" w:rsidRPr="00A447E9" w:rsidRDefault="00A447E9" w:rsidP="008A301C">
            <w:pPr>
              <w:rPr>
                <w:rFonts w:ascii="Times New Roman" w:eastAsia="Times New Roman" w:hAnsi="Times New Roman"/>
                <w:b/>
                <w:bCs/>
                <w:sz w:val="20"/>
                <w:szCs w:val="20"/>
              </w:rPr>
            </w:pPr>
            <w:r w:rsidRPr="00A447E9">
              <w:rPr>
                <w:rFonts w:ascii="Times New Roman" w:eastAsia="Times New Roman" w:hAnsi="Times New Roman"/>
                <w:bCs/>
                <w:sz w:val="20"/>
                <w:szCs w:val="20"/>
              </w:rPr>
              <w:t>Emergency Department Care without Hospitalization (risk-adjusted)</w:t>
            </w:r>
          </w:p>
        </w:tc>
        <w:tc>
          <w:tcPr>
            <w:tcW w:w="1230" w:type="dxa"/>
            <w:gridSpan w:val="2"/>
            <w:shd w:val="clear" w:color="auto" w:fill="auto"/>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OASIS</w:t>
            </w:r>
          </w:p>
        </w:tc>
        <w:tc>
          <w:tcPr>
            <w:tcW w:w="887" w:type="dxa"/>
            <w:gridSpan w:val="2"/>
            <w:shd w:val="clear" w:color="auto" w:fill="auto"/>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173</w:t>
            </w:r>
          </w:p>
        </w:tc>
      </w:tr>
      <w:tr w:rsidR="00A447E9" w:rsidRPr="00D81026" w:rsidTr="00A447E9">
        <w:tblPrEx>
          <w:tblLook w:val="04A0" w:firstRow="1" w:lastRow="0" w:firstColumn="1" w:lastColumn="0" w:noHBand="0" w:noVBand="1"/>
        </w:tblPrEx>
        <w:trPr>
          <w:trHeight w:val="146"/>
        </w:trPr>
        <w:tc>
          <w:tcPr>
            <w:tcW w:w="7753" w:type="dxa"/>
            <w:gridSpan w:val="2"/>
            <w:shd w:val="clear" w:color="auto" w:fill="D3DFEE"/>
          </w:tcPr>
          <w:p w:rsidR="00A447E9" w:rsidRPr="00A447E9" w:rsidRDefault="00A447E9" w:rsidP="008A301C">
            <w:pPr>
              <w:rPr>
                <w:rFonts w:ascii="Times New Roman" w:eastAsia="Times New Roman" w:hAnsi="Times New Roman"/>
                <w:b/>
                <w:bCs/>
                <w:sz w:val="20"/>
                <w:szCs w:val="20"/>
              </w:rPr>
            </w:pPr>
            <w:r w:rsidRPr="00A447E9">
              <w:rPr>
                <w:rFonts w:ascii="Times New Roman" w:eastAsia="Times New Roman" w:hAnsi="Times New Roman"/>
                <w:bCs/>
                <w:sz w:val="20"/>
                <w:szCs w:val="20"/>
              </w:rPr>
              <w:lastRenderedPageBreak/>
              <w:t>Timely Initiation of Care</w:t>
            </w:r>
          </w:p>
        </w:tc>
        <w:tc>
          <w:tcPr>
            <w:tcW w:w="1230" w:type="dxa"/>
            <w:gridSpan w:val="2"/>
            <w:shd w:val="clear" w:color="auto" w:fill="D3DFEE"/>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OASIS</w:t>
            </w:r>
          </w:p>
        </w:tc>
        <w:tc>
          <w:tcPr>
            <w:tcW w:w="887" w:type="dxa"/>
            <w:gridSpan w:val="2"/>
            <w:shd w:val="clear" w:color="auto" w:fill="D3DFEE"/>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526</w:t>
            </w:r>
          </w:p>
        </w:tc>
      </w:tr>
      <w:tr w:rsidR="004B76E8" w:rsidRPr="00D81026" w:rsidTr="004B76E8">
        <w:tblPrEx>
          <w:tblLook w:val="04A0" w:firstRow="1" w:lastRow="0" w:firstColumn="1" w:lastColumn="0" w:noHBand="0" w:noVBand="1"/>
        </w:tblPrEx>
        <w:trPr>
          <w:trHeight w:val="323"/>
        </w:trPr>
        <w:tc>
          <w:tcPr>
            <w:tcW w:w="9870" w:type="dxa"/>
            <w:gridSpan w:val="6"/>
            <w:shd w:val="clear" w:color="auto" w:fill="auto"/>
          </w:tcPr>
          <w:p w:rsidR="004B76E8" w:rsidRPr="004B76E8" w:rsidRDefault="004B76E8" w:rsidP="00A447E9">
            <w:pPr>
              <w:jc w:val="center"/>
              <w:rPr>
                <w:rFonts w:ascii="Times New Roman" w:eastAsia="Times New Roman" w:hAnsi="Times New Roman"/>
                <w:b/>
                <w:sz w:val="20"/>
                <w:szCs w:val="20"/>
              </w:rPr>
            </w:pPr>
            <w:r w:rsidRPr="004B76E8">
              <w:rPr>
                <w:rFonts w:ascii="Times New Roman" w:eastAsia="Times New Roman" w:hAnsi="Times New Roman"/>
                <w:b/>
                <w:bCs/>
                <w:sz w:val="20"/>
                <w:szCs w:val="20"/>
              </w:rPr>
              <w:t>Skilled Nursing Facilities</w:t>
            </w:r>
          </w:p>
        </w:tc>
      </w:tr>
      <w:tr w:rsidR="00C35BEA" w:rsidRPr="00D81026" w:rsidTr="00A447E9">
        <w:tblPrEx>
          <w:tblLook w:val="04A0" w:firstRow="1" w:lastRow="0" w:firstColumn="1" w:lastColumn="0" w:noHBand="0" w:noVBand="1"/>
        </w:tblPrEx>
        <w:trPr>
          <w:trHeight w:val="146"/>
        </w:trPr>
        <w:tc>
          <w:tcPr>
            <w:tcW w:w="7753" w:type="dxa"/>
            <w:gridSpan w:val="2"/>
            <w:shd w:val="clear" w:color="auto" w:fill="auto"/>
          </w:tcPr>
          <w:p w:rsidR="00A447E9" w:rsidRPr="00A447E9" w:rsidRDefault="00A447E9" w:rsidP="008A301C">
            <w:pPr>
              <w:rPr>
                <w:rFonts w:ascii="Times New Roman" w:eastAsia="Times New Roman" w:hAnsi="Times New Roman"/>
                <w:b/>
                <w:bCs/>
                <w:sz w:val="20"/>
                <w:szCs w:val="20"/>
              </w:rPr>
            </w:pPr>
            <w:r w:rsidRPr="00A447E9">
              <w:rPr>
                <w:rFonts w:ascii="Times New Roman" w:eastAsia="Times New Roman" w:hAnsi="Times New Roman"/>
                <w:bCs/>
                <w:sz w:val="20"/>
                <w:szCs w:val="20"/>
              </w:rPr>
              <w:t>Percent of Residents with Pressure Ulcers That Are New or Worsened (Short-Stay)</w:t>
            </w:r>
          </w:p>
        </w:tc>
        <w:tc>
          <w:tcPr>
            <w:tcW w:w="1230" w:type="dxa"/>
            <w:gridSpan w:val="2"/>
            <w:shd w:val="clear" w:color="auto" w:fill="auto"/>
          </w:tcPr>
          <w:p w:rsidR="00A447E9" w:rsidRPr="00A447E9" w:rsidRDefault="00A447E9" w:rsidP="00A447E9">
            <w:pPr>
              <w:jc w:val="center"/>
              <w:rPr>
                <w:rFonts w:ascii="Times New Roman" w:eastAsia="Times New Roman" w:hAnsi="Times New Roman"/>
                <w:sz w:val="20"/>
                <w:szCs w:val="20"/>
              </w:rPr>
            </w:pPr>
          </w:p>
        </w:tc>
        <w:tc>
          <w:tcPr>
            <w:tcW w:w="887" w:type="dxa"/>
            <w:gridSpan w:val="2"/>
            <w:shd w:val="clear" w:color="auto" w:fill="auto"/>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678</w:t>
            </w:r>
          </w:p>
        </w:tc>
      </w:tr>
      <w:tr w:rsidR="00A447E9" w:rsidRPr="00D81026" w:rsidTr="00A447E9">
        <w:tblPrEx>
          <w:tblLook w:val="04A0" w:firstRow="1" w:lastRow="0" w:firstColumn="1" w:lastColumn="0" w:noHBand="0" w:noVBand="1"/>
        </w:tblPrEx>
        <w:trPr>
          <w:trHeight w:val="146"/>
        </w:trPr>
        <w:tc>
          <w:tcPr>
            <w:tcW w:w="7753" w:type="dxa"/>
            <w:gridSpan w:val="2"/>
            <w:shd w:val="clear" w:color="auto" w:fill="D3DFEE"/>
          </w:tcPr>
          <w:p w:rsidR="00A447E9" w:rsidRPr="00A447E9" w:rsidRDefault="00A447E9" w:rsidP="008A301C">
            <w:pPr>
              <w:rPr>
                <w:rFonts w:ascii="Times New Roman" w:eastAsia="Times New Roman" w:hAnsi="Times New Roman"/>
                <w:b/>
                <w:bCs/>
                <w:sz w:val="20"/>
                <w:szCs w:val="20"/>
              </w:rPr>
            </w:pPr>
            <w:r w:rsidRPr="00A447E9">
              <w:rPr>
                <w:rFonts w:ascii="Times New Roman" w:eastAsia="Times New Roman" w:hAnsi="Times New Roman"/>
                <w:bCs/>
                <w:sz w:val="20"/>
                <w:szCs w:val="20"/>
              </w:rPr>
              <w:t>Percent of High Risk Residents with Pressure Ulcers (Long Stay)</w:t>
            </w:r>
          </w:p>
        </w:tc>
        <w:tc>
          <w:tcPr>
            <w:tcW w:w="1230" w:type="dxa"/>
            <w:gridSpan w:val="2"/>
            <w:shd w:val="clear" w:color="auto" w:fill="D3DFEE"/>
          </w:tcPr>
          <w:p w:rsidR="00A447E9" w:rsidRPr="00A447E9" w:rsidRDefault="00A447E9" w:rsidP="00A447E9">
            <w:pPr>
              <w:jc w:val="center"/>
              <w:rPr>
                <w:rFonts w:ascii="Times New Roman" w:eastAsia="Times New Roman" w:hAnsi="Times New Roman"/>
                <w:sz w:val="20"/>
                <w:szCs w:val="20"/>
              </w:rPr>
            </w:pPr>
          </w:p>
        </w:tc>
        <w:tc>
          <w:tcPr>
            <w:tcW w:w="887" w:type="dxa"/>
            <w:gridSpan w:val="2"/>
            <w:shd w:val="clear" w:color="auto" w:fill="D3DFEE"/>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679</w:t>
            </w:r>
          </w:p>
        </w:tc>
      </w:tr>
      <w:tr w:rsidR="00C35BEA" w:rsidRPr="00D81026" w:rsidTr="00A447E9">
        <w:tblPrEx>
          <w:tblLook w:val="04A0" w:firstRow="1" w:lastRow="0" w:firstColumn="1" w:lastColumn="0" w:noHBand="0" w:noVBand="1"/>
        </w:tblPrEx>
        <w:trPr>
          <w:trHeight w:val="146"/>
        </w:trPr>
        <w:tc>
          <w:tcPr>
            <w:tcW w:w="7753" w:type="dxa"/>
            <w:gridSpan w:val="2"/>
            <w:shd w:val="clear" w:color="auto" w:fill="auto"/>
          </w:tcPr>
          <w:p w:rsidR="00A447E9" w:rsidRPr="00A447E9" w:rsidRDefault="00A447E9" w:rsidP="008A301C">
            <w:pPr>
              <w:rPr>
                <w:rFonts w:ascii="Times New Roman" w:eastAsia="Times New Roman" w:hAnsi="Times New Roman"/>
                <w:b/>
                <w:bCs/>
                <w:sz w:val="20"/>
                <w:szCs w:val="20"/>
              </w:rPr>
            </w:pPr>
            <w:r w:rsidRPr="00A447E9">
              <w:rPr>
                <w:rFonts w:ascii="Times New Roman" w:eastAsia="Times New Roman" w:hAnsi="Times New Roman"/>
                <w:bCs/>
                <w:sz w:val="20"/>
                <w:szCs w:val="20"/>
              </w:rPr>
              <w:t>Percent of Residents Who Self-Report Moderate to Severe Pain (Short-Stay)</w:t>
            </w:r>
          </w:p>
        </w:tc>
        <w:tc>
          <w:tcPr>
            <w:tcW w:w="1230" w:type="dxa"/>
            <w:gridSpan w:val="2"/>
            <w:shd w:val="clear" w:color="auto" w:fill="auto"/>
          </w:tcPr>
          <w:p w:rsidR="00A447E9" w:rsidRPr="00A447E9" w:rsidRDefault="00A447E9" w:rsidP="00A447E9">
            <w:pPr>
              <w:jc w:val="center"/>
              <w:rPr>
                <w:rFonts w:ascii="Times New Roman" w:eastAsia="Times New Roman" w:hAnsi="Times New Roman"/>
                <w:sz w:val="20"/>
                <w:szCs w:val="20"/>
              </w:rPr>
            </w:pPr>
          </w:p>
        </w:tc>
        <w:tc>
          <w:tcPr>
            <w:tcW w:w="887" w:type="dxa"/>
            <w:gridSpan w:val="2"/>
            <w:shd w:val="clear" w:color="auto" w:fill="auto"/>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676</w:t>
            </w:r>
          </w:p>
        </w:tc>
      </w:tr>
      <w:tr w:rsidR="00C35BEA" w:rsidRPr="00D81026" w:rsidTr="00A447E9">
        <w:tblPrEx>
          <w:tblLook w:val="04A0" w:firstRow="1" w:lastRow="0" w:firstColumn="1" w:lastColumn="0" w:noHBand="0" w:noVBand="1"/>
        </w:tblPrEx>
        <w:trPr>
          <w:trHeight w:val="146"/>
        </w:trPr>
        <w:tc>
          <w:tcPr>
            <w:tcW w:w="7753" w:type="dxa"/>
            <w:gridSpan w:val="2"/>
            <w:shd w:val="clear" w:color="auto" w:fill="D3DFEE"/>
          </w:tcPr>
          <w:p w:rsidR="00A447E9" w:rsidRPr="00A447E9" w:rsidRDefault="00A447E9" w:rsidP="008A301C">
            <w:pPr>
              <w:rPr>
                <w:rFonts w:ascii="Times New Roman" w:eastAsia="Times New Roman" w:hAnsi="Times New Roman"/>
                <w:b/>
                <w:bCs/>
                <w:sz w:val="20"/>
                <w:szCs w:val="20"/>
              </w:rPr>
            </w:pPr>
            <w:r w:rsidRPr="00A447E9">
              <w:rPr>
                <w:rFonts w:ascii="Times New Roman" w:eastAsia="Times New Roman" w:hAnsi="Times New Roman"/>
                <w:bCs/>
                <w:sz w:val="20"/>
                <w:szCs w:val="20"/>
              </w:rPr>
              <w:t>Percent of Residents Who Self-Report Moderate to Severe Pain (Long-Stay)</w:t>
            </w:r>
          </w:p>
        </w:tc>
        <w:tc>
          <w:tcPr>
            <w:tcW w:w="1230" w:type="dxa"/>
            <w:gridSpan w:val="2"/>
            <w:shd w:val="clear" w:color="auto" w:fill="D3DFEE"/>
          </w:tcPr>
          <w:p w:rsidR="00A447E9" w:rsidRPr="00A447E9" w:rsidRDefault="00A447E9" w:rsidP="00A447E9">
            <w:pPr>
              <w:jc w:val="center"/>
              <w:rPr>
                <w:rFonts w:ascii="Times New Roman" w:eastAsia="Times New Roman" w:hAnsi="Times New Roman"/>
                <w:sz w:val="20"/>
                <w:szCs w:val="20"/>
              </w:rPr>
            </w:pPr>
          </w:p>
        </w:tc>
        <w:tc>
          <w:tcPr>
            <w:tcW w:w="887" w:type="dxa"/>
            <w:gridSpan w:val="2"/>
            <w:shd w:val="clear" w:color="auto" w:fill="D3DFEE"/>
          </w:tcPr>
          <w:p w:rsidR="00A447E9" w:rsidRPr="00A447E9" w:rsidRDefault="00A447E9" w:rsidP="00A447E9">
            <w:pPr>
              <w:jc w:val="center"/>
              <w:rPr>
                <w:rFonts w:ascii="Times New Roman" w:eastAsia="Times New Roman" w:hAnsi="Times New Roman"/>
                <w:sz w:val="20"/>
                <w:szCs w:val="20"/>
              </w:rPr>
            </w:pPr>
            <w:r w:rsidRPr="00A447E9">
              <w:rPr>
                <w:rFonts w:ascii="Times New Roman" w:eastAsia="Times New Roman" w:hAnsi="Times New Roman"/>
                <w:sz w:val="20"/>
                <w:szCs w:val="20"/>
              </w:rPr>
              <w:t>677</w:t>
            </w:r>
          </w:p>
        </w:tc>
      </w:tr>
    </w:tbl>
    <w:p w:rsidR="00A447E9" w:rsidRPr="00DB37C2" w:rsidRDefault="00A447E9" w:rsidP="00A447E9">
      <w:pPr>
        <w:rPr>
          <w:rFonts w:ascii="Times New Roman" w:hAnsi="Times New Roman"/>
        </w:rPr>
      </w:pPr>
    </w:p>
    <w:p w:rsidR="00161749" w:rsidRPr="00DB37C2" w:rsidRDefault="007338C0" w:rsidP="00A447E9">
      <w:pPr>
        <w:rPr>
          <w:rFonts w:ascii="Times New Roman" w:hAnsi="Times New Roman"/>
        </w:rPr>
      </w:pPr>
      <w:r w:rsidRPr="00DB37C2">
        <w:rPr>
          <w:rFonts w:ascii="Times New Roman" w:hAnsi="Times New Roman"/>
        </w:rPr>
        <w:t xml:space="preserve">* </w:t>
      </w:r>
      <w:r w:rsidR="00161749" w:rsidRPr="00DB37C2">
        <w:rPr>
          <w:rFonts w:ascii="Times New Roman" w:hAnsi="Times New Roman"/>
        </w:rPr>
        <w:t>National Quality Forum</w:t>
      </w:r>
      <w:r w:rsidR="003F116E" w:rsidRPr="00DB37C2">
        <w:rPr>
          <w:rFonts w:ascii="Times New Roman" w:hAnsi="Times New Roman"/>
        </w:rPr>
        <w:t xml:space="preserve"> </w:t>
      </w:r>
      <w:bookmarkStart w:id="0" w:name="_GoBack"/>
      <w:bookmarkEnd w:id="0"/>
    </w:p>
    <w:p w:rsidR="009723E3" w:rsidRDefault="009723E3"/>
    <w:sectPr w:rsidR="009723E3" w:rsidSect="00DA540F">
      <w:headerReference w:type="default" r:id="rId8"/>
      <w:footerReference w:type="default" r:id="rId9"/>
      <w:headerReference w:type="first" r:id="rId10"/>
      <w:footerReference w:type="first" r:id="rId11"/>
      <w:pgSz w:w="12240" w:h="15840"/>
      <w:pgMar w:top="1440" w:right="1440" w:bottom="1714" w:left="1440" w:header="2520"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DBA" w:rsidRDefault="004A4DBA">
      <w:r>
        <w:separator/>
      </w:r>
    </w:p>
  </w:endnote>
  <w:endnote w:type="continuationSeparator" w:id="0">
    <w:p w:rsidR="004A4DBA" w:rsidRDefault="004A4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E9" w:rsidRDefault="00A447E9">
    <w:pPr>
      <w:pStyle w:val="Footer"/>
    </w:pPr>
    <w:r>
      <w:fldChar w:fldCharType="begin"/>
    </w:r>
    <w:r>
      <w:instrText xml:space="preserve"> PAGE   \* MERGEFORMAT </w:instrText>
    </w:r>
    <w:r>
      <w:fldChar w:fldCharType="separate"/>
    </w:r>
    <w:r w:rsidR="00DB37C2">
      <w:rPr>
        <w:noProof/>
      </w:rPr>
      <w:t>2</w:t>
    </w:r>
    <w:r>
      <w:rPr>
        <w:noProof/>
      </w:rPr>
      <w:fldChar w:fldCharType="end"/>
    </w:r>
  </w:p>
  <w:p w:rsidR="00A447E9" w:rsidRDefault="00A447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E9" w:rsidRDefault="00DB37C2" w:rsidP="00C35BEA">
    <w:pPr>
      <w:pStyle w:val="Footer"/>
      <w:tabs>
        <w:tab w:val="clear" w:pos="4320"/>
        <w:tab w:val="clear" w:pos="8640"/>
        <w:tab w:val="left" w:pos="6705"/>
      </w:tabs>
    </w:pPr>
    <w:r>
      <w:rPr>
        <w:noProof/>
      </w:rPr>
      <mc:AlternateContent>
        <mc:Choice Requires="wps">
          <w:drawing>
            <wp:anchor distT="0" distB="0" distL="114300" distR="114300" simplePos="0" relativeHeight="251656704" behindDoc="0" locked="0" layoutInCell="1" allowOverlap="1">
              <wp:simplePos x="0" y="0"/>
              <wp:positionH relativeFrom="column">
                <wp:posOffset>4313555</wp:posOffset>
              </wp:positionH>
              <wp:positionV relativeFrom="paragraph">
                <wp:posOffset>-205740</wp:posOffset>
              </wp:positionV>
              <wp:extent cx="2377440" cy="1130300"/>
              <wp:effectExtent l="0" t="0" r="381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130300"/>
                      </a:xfrm>
                      <a:prstGeom prst="rect">
                        <a:avLst/>
                      </a:prstGeom>
                      <a:solidFill>
                        <a:srgbClr val="FFFFFF"/>
                      </a:solidFill>
                      <a:ln w="9525">
                        <a:noFill/>
                        <a:miter lim="800000"/>
                        <a:headEnd/>
                        <a:tailEnd/>
                      </a:ln>
                    </wps:spPr>
                    <wps:txbx>
                      <w:txbxContent>
                        <w:p w:rsidR="00C35BEA" w:rsidRPr="00282694" w:rsidRDefault="00C35BEA" w:rsidP="00C35BEA">
                          <w:pPr>
                            <w:pStyle w:val="Footer"/>
                            <w:spacing w:after="0" w:line="240" w:lineRule="auto"/>
                            <w:jc w:val="right"/>
                            <w:rPr>
                              <w:rFonts w:ascii="Arial" w:hAnsi="Arial"/>
                              <w:color w:val="808080"/>
                              <w:sz w:val="14"/>
                              <w:szCs w:val="14"/>
                            </w:rPr>
                          </w:pPr>
                          <w:r w:rsidRPr="00282694">
                            <w:rPr>
                              <w:rFonts w:ascii="Arial" w:hAnsi="Arial"/>
                              <w:color w:val="808080"/>
                              <w:sz w:val="14"/>
                              <w:szCs w:val="14"/>
                            </w:rPr>
                            <w:t>TWO BOYLSTON STREET</w:t>
                          </w:r>
                          <w:r w:rsidRPr="00282694">
                            <w:rPr>
                              <w:color w:val="808080"/>
                              <w:sz w:val="14"/>
                              <w:szCs w:val="14"/>
                            </w:rPr>
                            <w:br/>
                          </w:r>
                          <w:r w:rsidRPr="00282694">
                            <w:rPr>
                              <w:rFonts w:ascii="Arial" w:hAnsi="Arial"/>
                              <w:color w:val="808080"/>
                              <w:sz w:val="14"/>
                              <w:szCs w:val="14"/>
                            </w:rPr>
                            <w:t>BOSTON, MA 02116</w:t>
                          </w:r>
                        </w:p>
                        <w:p w:rsidR="00C35BEA" w:rsidRDefault="00C35BEA" w:rsidP="00C35BEA">
                          <w:pPr>
                            <w:pStyle w:val="Footer"/>
                            <w:spacing w:after="0" w:line="240" w:lineRule="auto"/>
                            <w:jc w:val="right"/>
                            <w:rPr>
                              <w:rFonts w:ascii="Arial Bold" w:hAnsi="Arial Bold"/>
                              <w:color w:val="00436D"/>
                              <w:sz w:val="14"/>
                              <w:szCs w:val="14"/>
                            </w:rPr>
                          </w:pPr>
                        </w:p>
                        <w:p w:rsidR="00C35BEA" w:rsidRPr="00282694" w:rsidRDefault="00C35BEA" w:rsidP="00C35BEA">
                          <w:pPr>
                            <w:pStyle w:val="Footer"/>
                            <w:spacing w:after="0" w:line="240" w:lineRule="auto"/>
                            <w:jc w:val="right"/>
                            <w:rPr>
                              <w:rFonts w:ascii="Arial" w:hAnsi="Arial"/>
                              <w:color w:val="808080"/>
                              <w:sz w:val="14"/>
                              <w:szCs w:val="14"/>
                            </w:rPr>
                          </w:pPr>
                          <w:r w:rsidRPr="001D5DE2">
                            <w:rPr>
                              <w:rFonts w:ascii="Arial Bold" w:hAnsi="Arial Bold"/>
                              <w:color w:val="00436D"/>
                              <w:sz w:val="14"/>
                              <w:szCs w:val="14"/>
                            </w:rPr>
                            <w:t>T</w:t>
                          </w:r>
                          <w:r w:rsidRPr="001D5DE2">
                            <w:rPr>
                              <w:rFonts w:ascii="Arial" w:hAnsi="Arial"/>
                              <w:color w:val="C0C0C0"/>
                              <w:sz w:val="14"/>
                              <w:szCs w:val="14"/>
                            </w:rPr>
                            <w:t xml:space="preserve">  </w:t>
                          </w:r>
                          <w:r w:rsidRPr="00282694">
                            <w:rPr>
                              <w:rFonts w:ascii="Arial" w:hAnsi="Arial"/>
                              <w:color w:val="808080"/>
                              <w:sz w:val="14"/>
                              <w:szCs w:val="14"/>
                            </w:rPr>
                            <w:t>617.988.3100</w:t>
                          </w:r>
                        </w:p>
                        <w:p w:rsidR="00C35BEA" w:rsidRPr="00282694" w:rsidRDefault="00C35BEA" w:rsidP="00C35BEA">
                          <w:pPr>
                            <w:pStyle w:val="Footer"/>
                            <w:spacing w:after="0" w:line="240" w:lineRule="auto"/>
                            <w:jc w:val="right"/>
                            <w:rPr>
                              <w:rFonts w:ascii="Arial" w:hAnsi="Arial"/>
                              <w:color w:val="808080"/>
                              <w:sz w:val="14"/>
                              <w:szCs w:val="14"/>
                            </w:rPr>
                          </w:pPr>
                          <w:r w:rsidRPr="001D5DE2">
                            <w:rPr>
                              <w:rFonts w:ascii="Arial Bold" w:hAnsi="Arial Bold"/>
                              <w:color w:val="00436E"/>
                              <w:sz w:val="14"/>
                              <w:szCs w:val="14"/>
                            </w:rPr>
                            <w:t>F</w:t>
                          </w:r>
                          <w:r w:rsidRPr="001D5DE2">
                            <w:rPr>
                              <w:rFonts w:ascii="Arial" w:hAnsi="Arial"/>
                              <w:color w:val="C0C0C0"/>
                              <w:sz w:val="14"/>
                              <w:szCs w:val="14"/>
                            </w:rPr>
                            <w:t xml:space="preserve">  </w:t>
                          </w:r>
                          <w:r w:rsidRPr="00282694">
                            <w:rPr>
                              <w:rFonts w:ascii="Arial" w:hAnsi="Arial"/>
                              <w:color w:val="808080"/>
                              <w:sz w:val="14"/>
                              <w:szCs w:val="14"/>
                            </w:rPr>
                            <w:t>617.727.7662</w:t>
                          </w:r>
                        </w:p>
                        <w:p w:rsidR="00C35BEA" w:rsidRDefault="00C35BEA" w:rsidP="00C35BEA">
                          <w:pPr>
                            <w:pStyle w:val="Footer"/>
                            <w:spacing w:after="0" w:line="240" w:lineRule="auto"/>
                            <w:jc w:val="right"/>
                            <w:rPr>
                              <w:rFonts w:ascii="Arial Bold" w:hAnsi="Arial Bold"/>
                              <w:color w:val="00436E"/>
                              <w:sz w:val="14"/>
                              <w:szCs w:val="14"/>
                            </w:rPr>
                          </w:pPr>
                        </w:p>
                        <w:p w:rsidR="00C35BEA" w:rsidRPr="001D5DE2" w:rsidRDefault="00C35BEA" w:rsidP="00C35BEA">
                          <w:pPr>
                            <w:pStyle w:val="Footer"/>
                            <w:spacing w:after="0" w:line="240" w:lineRule="auto"/>
                            <w:jc w:val="right"/>
                            <w:rPr>
                              <w:rFonts w:ascii="Arial Bold" w:hAnsi="Arial Bold"/>
                              <w:color w:val="00436E"/>
                              <w:sz w:val="14"/>
                              <w:szCs w:val="14"/>
                            </w:rPr>
                          </w:pPr>
                          <w:r w:rsidRPr="001D5DE2">
                            <w:rPr>
                              <w:rFonts w:ascii="Arial Bold" w:hAnsi="Arial Bold"/>
                              <w:color w:val="00436E"/>
                              <w:sz w:val="14"/>
                              <w:szCs w:val="14"/>
                            </w:rPr>
                            <w:t>www.mass.gov/chia</w:t>
                          </w:r>
                        </w:p>
                        <w:p w:rsidR="00C35BEA" w:rsidRDefault="00C35BEA" w:rsidP="00C35BEA"/>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9.65pt;margin-top:-16.2pt;width:187.2pt;height:89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" stroked="f">
              <v:textbox style="mso-fit-shape-to-text:t">
                <w:txbxContent>
                  <w:p w:rsidR="00C35BEA" w:rsidRPr="00282694" w:rsidRDefault="00C35BEA" w:rsidP="00C35BEA">
                    <w:pPr>
                      <w:pStyle w:val="Footer"/>
                      <w:spacing w:after="0" w:line="240" w:lineRule="auto"/>
                      <w:jc w:val="right"/>
                      <w:rPr>
                        <w:rFonts w:ascii="Arial" w:hAnsi="Arial"/>
                        <w:color w:val="808080"/>
                        <w:sz w:val="14"/>
                        <w:szCs w:val="14"/>
                      </w:rPr>
                    </w:pPr>
                    <w:r w:rsidRPr="00282694">
                      <w:rPr>
                        <w:rFonts w:ascii="Arial" w:hAnsi="Arial"/>
                        <w:color w:val="808080"/>
                        <w:sz w:val="14"/>
                        <w:szCs w:val="14"/>
                      </w:rPr>
                      <w:t>TWO BOYLSTON STREET</w:t>
                    </w:r>
                    <w:r w:rsidRPr="00282694">
                      <w:rPr>
                        <w:color w:val="808080"/>
                        <w:sz w:val="14"/>
                        <w:szCs w:val="14"/>
                      </w:rPr>
                      <w:br/>
                    </w:r>
                    <w:r w:rsidRPr="00282694">
                      <w:rPr>
                        <w:rFonts w:ascii="Arial" w:hAnsi="Arial"/>
                        <w:color w:val="808080"/>
                        <w:sz w:val="14"/>
                        <w:szCs w:val="14"/>
                      </w:rPr>
                      <w:t>BOSTON, MA 02116</w:t>
                    </w:r>
                  </w:p>
                  <w:p w:rsidR="00C35BEA" w:rsidRDefault="00C35BEA" w:rsidP="00C35BEA">
                    <w:pPr>
                      <w:pStyle w:val="Footer"/>
                      <w:spacing w:after="0" w:line="240" w:lineRule="auto"/>
                      <w:jc w:val="right"/>
                      <w:rPr>
                        <w:rFonts w:ascii="Arial Bold" w:hAnsi="Arial Bold"/>
                        <w:color w:val="00436D"/>
                        <w:sz w:val="14"/>
                        <w:szCs w:val="14"/>
                      </w:rPr>
                    </w:pPr>
                  </w:p>
                  <w:p w:rsidR="00C35BEA" w:rsidRPr="00282694" w:rsidRDefault="00C35BEA" w:rsidP="00C35BEA">
                    <w:pPr>
                      <w:pStyle w:val="Footer"/>
                      <w:spacing w:after="0" w:line="240" w:lineRule="auto"/>
                      <w:jc w:val="right"/>
                      <w:rPr>
                        <w:rFonts w:ascii="Arial" w:hAnsi="Arial"/>
                        <w:color w:val="808080"/>
                        <w:sz w:val="14"/>
                        <w:szCs w:val="14"/>
                      </w:rPr>
                    </w:pPr>
                    <w:r w:rsidRPr="001D5DE2">
                      <w:rPr>
                        <w:rFonts w:ascii="Arial Bold" w:hAnsi="Arial Bold"/>
                        <w:color w:val="00436D"/>
                        <w:sz w:val="14"/>
                        <w:szCs w:val="14"/>
                      </w:rPr>
                      <w:t>T</w:t>
                    </w:r>
                    <w:r w:rsidRPr="001D5DE2">
                      <w:rPr>
                        <w:rFonts w:ascii="Arial" w:hAnsi="Arial"/>
                        <w:color w:val="C0C0C0"/>
                        <w:sz w:val="14"/>
                        <w:szCs w:val="14"/>
                      </w:rPr>
                      <w:t xml:space="preserve">  </w:t>
                    </w:r>
                    <w:r w:rsidRPr="00282694">
                      <w:rPr>
                        <w:rFonts w:ascii="Arial" w:hAnsi="Arial"/>
                        <w:color w:val="808080"/>
                        <w:sz w:val="14"/>
                        <w:szCs w:val="14"/>
                      </w:rPr>
                      <w:t>617.988.3100</w:t>
                    </w:r>
                  </w:p>
                  <w:p w:rsidR="00C35BEA" w:rsidRPr="00282694" w:rsidRDefault="00C35BEA" w:rsidP="00C35BEA">
                    <w:pPr>
                      <w:pStyle w:val="Footer"/>
                      <w:spacing w:after="0" w:line="240" w:lineRule="auto"/>
                      <w:jc w:val="right"/>
                      <w:rPr>
                        <w:rFonts w:ascii="Arial" w:hAnsi="Arial"/>
                        <w:color w:val="808080"/>
                        <w:sz w:val="14"/>
                        <w:szCs w:val="14"/>
                      </w:rPr>
                    </w:pPr>
                    <w:r w:rsidRPr="001D5DE2">
                      <w:rPr>
                        <w:rFonts w:ascii="Arial Bold" w:hAnsi="Arial Bold"/>
                        <w:color w:val="00436E"/>
                        <w:sz w:val="14"/>
                        <w:szCs w:val="14"/>
                      </w:rPr>
                      <w:t>F</w:t>
                    </w:r>
                    <w:r w:rsidRPr="001D5DE2">
                      <w:rPr>
                        <w:rFonts w:ascii="Arial" w:hAnsi="Arial"/>
                        <w:color w:val="C0C0C0"/>
                        <w:sz w:val="14"/>
                        <w:szCs w:val="14"/>
                      </w:rPr>
                      <w:t xml:space="preserve">  </w:t>
                    </w:r>
                    <w:r w:rsidRPr="00282694">
                      <w:rPr>
                        <w:rFonts w:ascii="Arial" w:hAnsi="Arial"/>
                        <w:color w:val="808080"/>
                        <w:sz w:val="14"/>
                        <w:szCs w:val="14"/>
                      </w:rPr>
                      <w:t>617.727.7662</w:t>
                    </w:r>
                  </w:p>
                  <w:p w:rsidR="00C35BEA" w:rsidRDefault="00C35BEA" w:rsidP="00C35BEA">
                    <w:pPr>
                      <w:pStyle w:val="Footer"/>
                      <w:spacing w:after="0" w:line="240" w:lineRule="auto"/>
                      <w:jc w:val="right"/>
                      <w:rPr>
                        <w:rFonts w:ascii="Arial Bold" w:hAnsi="Arial Bold"/>
                        <w:color w:val="00436E"/>
                        <w:sz w:val="14"/>
                        <w:szCs w:val="14"/>
                      </w:rPr>
                    </w:pPr>
                  </w:p>
                  <w:p w:rsidR="00C35BEA" w:rsidRPr="001D5DE2" w:rsidRDefault="00C35BEA" w:rsidP="00C35BEA">
                    <w:pPr>
                      <w:pStyle w:val="Footer"/>
                      <w:spacing w:after="0" w:line="240" w:lineRule="auto"/>
                      <w:jc w:val="right"/>
                      <w:rPr>
                        <w:rFonts w:ascii="Arial Bold" w:hAnsi="Arial Bold"/>
                        <w:color w:val="00436E"/>
                        <w:sz w:val="14"/>
                        <w:szCs w:val="14"/>
                      </w:rPr>
                    </w:pPr>
                    <w:r w:rsidRPr="001D5DE2">
                      <w:rPr>
                        <w:rFonts w:ascii="Arial Bold" w:hAnsi="Arial Bold"/>
                        <w:color w:val="00436E"/>
                        <w:sz w:val="14"/>
                        <w:szCs w:val="14"/>
                      </w:rPr>
                      <w:t>www.mass.gov/chia</w:t>
                    </w:r>
                  </w:p>
                  <w:p w:rsidR="00C35BEA" w:rsidRDefault="00C35BEA" w:rsidP="00C35BEA"/>
                </w:txbxContent>
              </v:textbox>
            </v:shape>
          </w:pict>
        </mc:Fallback>
      </mc:AlternateContent>
    </w:r>
    <w:r w:rsidR="00A447E9">
      <w:fldChar w:fldCharType="begin"/>
    </w:r>
    <w:r w:rsidR="00A447E9">
      <w:instrText xml:space="preserve"> PAGE   \* MERGEFORMAT </w:instrText>
    </w:r>
    <w:r w:rsidR="00A447E9">
      <w:fldChar w:fldCharType="separate"/>
    </w:r>
    <w:r>
      <w:rPr>
        <w:noProof/>
      </w:rPr>
      <w:t>1</w:t>
    </w:r>
    <w:r w:rsidR="00A447E9">
      <w:rPr>
        <w:noProof/>
      </w:rPr>
      <w:fldChar w:fldCharType="end"/>
    </w:r>
    <w:r w:rsidR="00C35BEA">
      <w:rPr>
        <w:noProof/>
      </w:rPr>
      <w:tab/>
    </w:r>
  </w:p>
  <w:p w:rsidR="00A447E9" w:rsidRDefault="00A447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DBA" w:rsidRDefault="004A4DBA">
      <w:r>
        <w:separator/>
      </w:r>
    </w:p>
  </w:footnote>
  <w:footnote w:type="continuationSeparator" w:id="0">
    <w:p w:rsidR="004A4DBA" w:rsidRDefault="004A4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E9" w:rsidRDefault="00DB37C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E3" w:rsidRDefault="00DB37C2">
    <w:pPr>
      <w:pStyle w:val="Header"/>
    </w:pPr>
    <w:r>
      <w:rPr>
        <w:noProof/>
      </w:rPr>
      <w:drawing>
        <wp:anchor distT="0" distB="0" distL="114300" distR="114300" simplePos="0" relativeHeight="251657728" behindDoc="1" locked="1" layoutInCell="1" allowOverlap="1">
          <wp:simplePos x="0" y="0"/>
          <wp:positionH relativeFrom="margin">
            <wp:posOffset>5554980</wp:posOffset>
          </wp:positionH>
          <wp:positionV relativeFrom="page">
            <wp:posOffset>345440</wp:posOffset>
          </wp:positionV>
          <wp:extent cx="1054100" cy="1524000"/>
          <wp:effectExtent l="0" t="0" r="0" b="0"/>
          <wp:wrapNone/>
          <wp:docPr id="2" name="Picture 1" descr="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5240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7E9"/>
    <w:rsid w:val="000675E6"/>
    <w:rsid w:val="000B5CB8"/>
    <w:rsid w:val="001128D6"/>
    <w:rsid w:val="00161749"/>
    <w:rsid w:val="001D5DE2"/>
    <w:rsid w:val="002122F7"/>
    <w:rsid w:val="003F116E"/>
    <w:rsid w:val="004306E1"/>
    <w:rsid w:val="004A4DBA"/>
    <w:rsid w:val="004B76E8"/>
    <w:rsid w:val="00524B06"/>
    <w:rsid w:val="005913E0"/>
    <w:rsid w:val="005F479F"/>
    <w:rsid w:val="006213C5"/>
    <w:rsid w:val="006D0412"/>
    <w:rsid w:val="00720073"/>
    <w:rsid w:val="007338C0"/>
    <w:rsid w:val="007D7627"/>
    <w:rsid w:val="008A301C"/>
    <w:rsid w:val="008A6188"/>
    <w:rsid w:val="008F7FC5"/>
    <w:rsid w:val="00954B72"/>
    <w:rsid w:val="009723E3"/>
    <w:rsid w:val="009C12CE"/>
    <w:rsid w:val="00A447E9"/>
    <w:rsid w:val="00AC425E"/>
    <w:rsid w:val="00B059DE"/>
    <w:rsid w:val="00B251CF"/>
    <w:rsid w:val="00C35BEA"/>
    <w:rsid w:val="00C57938"/>
    <w:rsid w:val="00CE5960"/>
    <w:rsid w:val="00DA540F"/>
    <w:rsid w:val="00DB37C2"/>
    <w:rsid w:val="00DD3C26"/>
    <w:rsid w:val="00F86A64"/>
    <w:rsid w:val="00FC528D"/>
    <w:rsid w:val="00FE2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7E9"/>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rsid w:val="007A5533"/>
    <w:pPr>
      <w:tabs>
        <w:tab w:val="center" w:pos="4320"/>
        <w:tab w:val="right" w:pos="8640"/>
      </w:tabs>
    </w:pPr>
  </w:style>
  <w:style w:type="paragraph" w:styleId="Footer">
    <w:name w:val="footer"/>
    <w:basedOn w:val="Normal"/>
    <w:link w:val="FooterChar"/>
    <w:rsid w:val="007A5533"/>
    <w:pPr>
      <w:tabs>
        <w:tab w:val="center" w:pos="4320"/>
        <w:tab w:val="right" w:pos="8640"/>
      </w:tabs>
    </w:pPr>
  </w:style>
  <w:style w:type="character" w:styleId="CommentReference">
    <w:name w:val="annotation reference"/>
    <w:uiPriority w:val="99"/>
    <w:semiHidden/>
    <w:unhideWhenUsed/>
    <w:rsid w:val="00A447E9"/>
    <w:rPr>
      <w:sz w:val="16"/>
      <w:szCs w:val="16"/>
    </w:rPr>
  </w:style>
  <w:style w:type="paragraph" w:styleId="CommentText">
    <w:name w:val="annotation text"/>
    <w:basedOn w:val="Normal"/>
    <w:link w:val="CommentTextChar"/>
    <w:uiPriority w:val="99"/>
    <w:semiHidden/>
    <w:unhideWhenUsed/>
    <w:rsid w:val="00A447E9"/>
    <w:rPr>
      <w:sz w:val="20"/>
      <w:szCs w:val="20"/>
    </w:rPr>
  </w:style>
  <w:style w:type="character" w:customStyle="1" w:styleId="CommentTextChar">
    <w:name w:val="Comment Text Char"/>
    <w:link w:val="CommentText"/>
    <w:uiPriority w:val="99"/>
    <w:semiHidden/>
    <w:rsid w:val="00A447E9"/>
    <w:rPr>
      <w:rFonts w:ascii="Calibri" w:eastAsia="Calibri" w:hAnsi="Calibri"/>
    </w:rPr>
  </w:style>
  <w:style w:type="table" w:customStyle="1" w:styleId="LightShading-Accent11">
    <w:name w:val="Light Shading - Accent 11"/>
    <w:basedOn w:val="TableNormal"/>
    <w:uiPriority w:val="60"/>
    <w:rsid w:val="00A447E9"/>
    <w:rPr>
      <w:rFonts w:ascii="Calibri" w:hAnsi="Calibri"/>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link w:val="Footer"/>
    <w:rsid w:val="00A447E9"/>
    <w:rPr>
      <w:sz w:val="24"/>
      <w:szCs w:val="24"/>
    </w:rPr>
  </w:style>
  <w:style w:type="paragraph" w:styleId="CommentSubject">
    <w:name w:val="annotation subject"/>
    <w:basedOn w:val="CommentText"/>
    <w:next w:val="CommentText"/>
    <w:link w:val="CommentSubjectChar"/>
    <w:uiPriority w:val="99"/>
    <w:semiHidden/>
    <w:unhideWhenUsed/>
    <w:rsid w:val="007338C0"/>
    <w:rPr>
      <w:b/>
      <w:bCs/>
    </w:rPr>
  </w:style>
  <w:style w:type="character" w:customStyle="1" w:styleId="CommentSubjectChar">
    <w:name w:val="Comment Subject Char"/>
    <w:link w:val="CommentSubject"/>
    <w:uiPriority w:val="99"/>
    <w:semiHidden/>
    <w:rsid w:val="007338C0"/>
    <w:rPr>
      <w:rFonts w:ascii="Calibri" w:eastAsia="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7E9"/>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rsid w:val="007A5533"/>
    <w:pPr>
      <w:tabs>
        <w:tab w:val="center" w:pos="4320"/>
        <w:tab w:val="right" w:pos="8640"/>
      </w:tabs>
    </w:pPr>
  </w:style>
  <w:style w:type="paragraph" w:styleId="Footer">
    <w:name w:val="footer"/>
    <w:basedOn w:val="Normal"/>
    <w:link w:val="FooterChar"/>
    <w:rsid w:val="007A5533"/>
    <w:pPr>
      <w:tabs>
        <w:tab w:val="center" w:pos="4320"/>
        <w:tab w:val="right" w:pos="8640"/>
      </w:tabs>
    </w:pPr>
  </w:style>
  <w:style w:type="character" w:styleId="CommentReference">
    <w:name w:val="annotation reference"/>
    <w:uiPriority w:val="99"/>
    <w:semiHidden/>
    <w:unhideWhenUsed/>
    <w:rsid w:val="00A447E9"/>
    <w:rPr>
      <w:sz w:val="16"/>
      <w:szCs w:val="16"/>
    </w:rPr>
  </w:style>
  <w:style w:type="paragraph" w:styleId="CommentText">
    <w:name w:val="annotation text"/>
    <w:basedOn w:val="Normal"/>
    <w:link w:val="CommentTextChar"/>
    <w:uiPriority w:val="99"/>
    <w:semiHidden/>
    <w:unhideWhenUsed/>
    <w:rsid w:val="00A447E9"/>
    <w:rPr>
      <w:sz w:val="20"/>
      <w:szCs w:val="20"/>
    </w:rPr>
  </w:style>
  <w:style w:type="character" w:customStyle="1" w:styleId="CommentTextChar">
    <w:name w:val="Comment Text Char"/>
    <w:link w:val="CommentText"/>
    <w:uiPriority w:val="99"/>
    <w:semiHidden/>
    <w:rsid w:val="00A447E9"/>
    <w:rPr>
      <w:rFonts w:ascii="Calibri" w:eastAsia="Calibri" w:hAnsi="Calibri"/>
    </w:rPr>
  </w:style>
  <w:style w:type="table" w:customStyle="1" w:styleId="LightShading-Accent11">
    <w:name w:val="Light Shading - Accent 11"/>
    <w:basedOn w:val="TableNormal"/>
    <w:uiPriority w:val="60"/>
    <w:rsid w:val="00A447E9"/>
    <w:rPr>
      <w:rFonts w:ascii="Calibri" w:hAnsi="Calibri"/>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link w:val="Footer"/>
    <w:rsid w:val="00A447E9"/>
    <w:rPr>
      <w:sz w:val="24"/>
      <w:szCs w:val="24"/>
    </w:rPr>
  </w:style>
  <w:style w:type="paragraph" w:styleId="CommentSubject">
    <w:name w:val="annotation subject"/>
    <w:basedOn w:val="CommentText"/>
    <w:next w:val="CommentText"/>
    <w:link w:val="CommentSubjectChar"/>
    <w:uiPriority w:val="99"/>
    <w:semiHidden/>
    <w:unhideWhenUsed/>
    <w:rsid w:val="007338C0"/>
    <w:rPr>
      <w:b/>
      <w:bCs/>
    </w:rPr>
  </w:style>
  <w:style w:type="character" w:customStyle="1" w:styleId="CommentSubjectChar">
    <w:name w:val="Comment Subject Char"/>
    <w:link w:val="CommentSubject"/>
    <w:uiPriority w:val="99"/>
    <w:semiHidden/>
    <w:rsid w:val="007338C0"/>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LLDHCFP\Administration\CHIA%20Policies,%20Forms%20and%20Templates\Letterhead\CHIAletterhead%20T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5056E-DE68-485D-9354-C98EDDD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CHIAletterhead TB.dotx</Template>
  <TotalTime>0</TotalTime>
  <Pages>7</Pages>
  <Words>1290</Words>
  <Characters>7355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 Carman</dc:creator>
  <cp:lastModifiedBy>Cristi Carman</cp:lastModifiedBy>
  <cp:revision>2</cp:revision>
  <cp:lastPrinted>2014-05-02T15:39:00Z</cp:lastPrinted>
  <dcterms:created xsi:type="dcterms:W3CDTF">2014-05-13T15:15:00Z</dcterms:created>
  <dcterms:modified xsi:type="dcterms:W3CDTF">2014-05-13T15:15:00Z</dcterms:modified>
</cp:coreProperties>
</file>