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5F" w:rsidRPr="00AC6AB9" w:rsidRDefault="008679D6" w:rsidP="00A64363">
      <w:pPr>
        <w:jc w:val="center"/>
        <w:rPr>
          <w:b/>
          <w:u w:val="single"/>
        </w:rPr>
      </w:pPr>
      <w:r>
        <w:rPr>
          <w:b/>
          <w:u w:val="single"/>
        </w:rPr>
        <w:t xml:space="preserve">List of Various </w:t>
      </w:r>
      <w:r w:rsidR="00A64363" w:rsidRPr="00AC6AB9">
        <w:rPr>
          <w:b/>
          <w:u w:val="single"/>
        </w:rPr>
        <w:t>Emergency Department Boarding Recommendation</w:t>
      </w:r>
      <w:r>
        <w:rPr>
          <w:b/>
          <w:u w:val="single"/>
        </w:rPr>
        <w:t xml:space="preserve">s </w:t>
      </w:r>
    </w:p>
    <w:p w:rsidR="00A64363" w:rsidRPr="00AC6AB9" w:rsidRDefault="00A64363">
      <w:r w:rsidRPr="00AC6AB9">
        <w:t xml:space="preserve">The following table provides a </w:t>
      </w:r>
      <w:r w:rsidRPr="00AC6AB9">
        <w:rPr>
          <w:u w:val="single"/>
        </w:rPr>
        <w:t>brief description</w:t>
      </w:r>
      <w:r w:rsidRPr="00AC6AB9">
        <w:t xml:space="preserve"> of recommendations that have been made by various state agencies, Commissions and Task Forc</w:t>
      </w:r>
      <w:r w:rsidR="008679D6">
        <w:t xml:space="preserve">es in the past several years.  </w:t>
      </w:r>
      <w:r w:rsidRPr="00AC6AB9">
        <w:t xml:space="preserve">For more information about the recommendation, please see the </w:t>
      </w:r>
      <w:r w:rsidR="00E205AF" w:rsidRPr="00AC6AB9">
        <w:t>reports emailed to each Task Force Member, or where applicable</w:t>
      </w:r>
      <w:r w:rsidR="00862DC2">
        <w:t>,</w:t>
      </w:r>
      <w:r w:rsidR="00E205AF" w:rsidRPr="00AC6AB9">
        <w:t xml:space="preserve"> the </w:t>
      </w:r>
      <w:proofErr w:type="spellStart"/>
      <w:r w:rsidRPr="00AC6AB9">
        <w:t>weblink</w:t>
      </w:r>
      <w:proofErr w:type="spellEnd"/>
      <w:r w:rsidRPr="00AC6AB9">
        <w:t xml:space="preserve"> </w:t>
      </w:r>
      <w:r w:rsidR="00E205AF" w:rsidRPr="00AC6AB9">
        <w:t>provided in table</w:t>
      </w:r>
      <w:r w:rsidRPr="00AC6AB9">
        <w:t xml:space="preserve">.   The recommendations are ordered by date in which the group produced a final report, with the most recent recommendations first. </w:t>
      </w:r>
    </w:p>
    <w:tbl>
      <w:tblPr>
        <w:tblStyle w:val="TableGrid"/>
        <w:tblW w:w="12438" w:type="dxa"/>
        <w:tblLayout w:type="fixed"/>
        <w:tblLook w:val="04A0" w:firstRow="1" w:lastRow="0" w:firstColumn="1" w:lastColumn="0" w:noHBand="0" w:noVBand="1"/>
      </w:tblPr>
      <w:tblGrid>
        <w:gridCol w:w="6138"/>
        <w:gridCol w:w="6300"/>
      </w:tblGrid>
      <w:tr w:rsidR="00215988" w:rsidRPr="00AC6AB9" w:rsidTr="00215988">
        <w:trPr>
          <w:tblHeader/>
        </w:trPr>
        <w:tc>
          <w:tcPr>
            <w:tcW w:w="6138" w:type="dxa"/>
            <w:shd w:val="clear" w:color="auto" w:fill="BFBFBF" w:themeFill="background1" w:themeFillShade="BF"/>
          </w:tcPr>
          <w:p w:rsidR="00215988" w:rsidRPr="00AC6AB9" w:rsidRDefault="00215988" w:rsidP="009F5EE1">
            <w:pPr>
              <w:jc w:val="center"/>
              <w:rPr>
                <w:b/>
              </w:rPr>
            </w:pPr>
            <w:r w:rsidRPr="00AC6AB9">
              <w:rPr>
                <w:b/>
              </w:rPr>
              <w:t>Recommendation</w:t>
            </w:r>
          </w:p>
        </w:tc>
        <w:tc>
          <w:tcPr>
            <w:tcW w:w="6300" w:type="dxa"/>
            <w:shd w:val="clear" w:color="auto" w:fill="BFBFBF" w:themeFill="background1" w:themeFillShade="BF"/>
          </w:tcPr>
          <w:p w:rsidR="00215988" w:rsidRPr="00AC6AB9" w:rsidRDefault="00215988" w:rsidP="009F5EE1">
            <w:pPr>
              <w:jc w:val="center"/>
              <w:rPr>
                <w:b/>
              </w:rPr>
            </w:pPr>
            <w:r w:rsidRPr="00AC6AB9">
              <w:rPr>
                <w:b/>
              </w:rPr>
              <w:t>Recommending Body</w:t>
            </w:r>
          </w:p>
        </w:tc>
      </w:tr>
      <w:tr w:rsidR="00215988" w:rsidRPr="00AC6AB9" w:rsidTr="00215988">
        <w:tc>
          <w:tcPr>
            <w:tcW w:w="6138" w:type="dxa"/>
          </w:tcPr>
          <w:p w:rsidR="00215988" w:rsidRPr="00AC6AB9" w:rsidRDefault="00215988" w:rsidP="009A55FE">
            <w:pPr>
              <w:pStyle w:val="ListParagraph"/>
              <w:numPr>
                <w:ilvl w:val="0"/>
                <w:numId w:val="10"/>
              </w:numPr>
            </w:pPr>
            <w:r>
              <w:t xml:space="preserve">Require </w:t>
            </w:r>
            <w:proofErr w:type="spellStart"/>
            <w:r w:rsidRPr="00AC6AB9">
              <w:t>CSS</w:t>
            </w:r>
            <w:proofErr w:type="spellEnd"/>
            <w:r w:rsidRPr="00AC6AB9">
              <w:t xml:space="preserve"> information</w:t>
            </w:r>
            <w:r>
              <w:t xml:space="preserve"> to be included</w:t>
            </w:r>
            <w:r w:rsidRPr="00AC6AB9">
              <w:t xml:space="preserve"> and </w:t>
            </w:r>
            <w:r>
              <w:t>a link to the BSAS service locater</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215988">
            <w:r w:rsidRPr="00AC6AB9">
              <w:t>12/2014</w:t>
            </w:r>
            <w:r w:rsidRPr="00AC6AB9">
              <w:rPr>
                <w:color w:val="FF0000"/>
              </w:rPr>
              <w:t xml:space="preserve"> </w:t>
            </w:r>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Provide </w:t>
            </w:r>
            <w:proofErr w:type="spellStart"/>
            <w:r w:rsidRPr="00AC6AB9">
              <w:t>24x7</w:t>
            </w:r>
            <w:proofErr w:type="spellEnd"/>
            <w:r w:rsidRPr="00AC6AB9">
              <w:t>/365 contact information for all payers for collaboration</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E205AF">
            <w:r w:rsidRPr="00AC6AB9">
              <w:t>12/2014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Enhance search capability</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E205AF">
            <w:r w:rsidRPr="00AC6AB9">
              <w:t>12/2014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ED voluntarily post information about members waiting care</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E205AF">
            <w:r w:rsidRPr="00AC6AB9">
              <w:t>12/2014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Inpatient facilities voluntarily enter anticipated discharges</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E205AF">
            <w:r w:rsidRPr="00AC6AB9">
              <w:t>12/2014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Facility profile updates</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E205AF">
            <w:r w:rsidRPr="00AC6AB9">
              <w:t>12/2014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Levels of care / glossary</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E205AF">
            <w:r w:rsidRPr="00AC6AB9">
              <w:t>12/2014</w:t>
            </w:r>
          </w:p>
        </w:tc>
      </w:tr>
      <w:tr w:rsidR="00215988" w:rsidRPr="00AC6AB9" w:rsidTr="00215988">
        <w:tc>
          <w:tcPr>
            <w:tcW w:w="6138" w:type="dxa"/>
          </w:tcPr>
          <w:p w:rsidR="00215988" w:rsidRPr="00AC6AB9" w:rsidRDefault="00215988" w:rsidP="00E205AF">
            <w:pPr>
              <w:pStyle w:val="ListParagraph"/>
              <w:numPr>
                <w:ilvl w:val="0"/>
                <w:numId w:val="10"/>
              </w:numPr>
            </w:pPr>
            <w:r w:rsidRPr="00AC6AB9">
              <w:t xml:space="preserve">Include </w:t>
            </w:r>
            <w:proofErr w:type="spellStart"/>
            <w:r w:rsidRPr="00AC6AB9">
              <w:t>bedfinder</w:t>
            </w:r>
            <w:proofErr w:type="spellEnd"/>
            <w:r w:rsidRPr="00AC6AB9">
              <w:t xml:space="preserve"> reporting requirement in licensing regulations or state contracting</w:t>
            </w:r>
          </w:p>
        </w:tc>
        <w:tc>
          <w:tcPr>
            <w:tcW w:w="6300" w:type="dxa"/>
          </w:tcPr>
          <w:p w:rsidR="00215988" w:rsidRPr="00AC6AB9" w:rsidRDefault="00215988" w:rsidP="00E205AF">
            <w:r w:rsidRPr="00AC6AB9">
              <w:t xml:space="preserve">Report from the </w:t>
            </w:r>
            <w:r w:rsidRPr="00AC6AB9">
              <w:rPr>
                <w:b/>
              </w:rPr>
              <w:t>Special Commission</w:t>
            </w:r>
            <w:r w:rsidRPr="00AC6AB9">
              <w:t xml:space="preserve"> to Investigate the Expansion and Enhancement of </w:t>
            </w:r>
            <w:r w:rsidRPr="00AC6AB9">
              <w:rPr>
                <w:b/>
              </w:rPr>
              <w:t>the MABHA Website</w:t>
            </w:r>
          </w:p>
          <w:p w:rsidR="00215988" w:rsidRPr="00AC6AB9" w:rsidRDefault="00215988" w:rsidP="00E205AF">
            <w:r w:rsidRPr="00AC6AB9">
              <w:t>12/2014</w:t>
            </w:r>
          </w:p>
        </w:tc>
      </w:tr>
      <w:tr w:rsidR="00215988" w:rsidRPr="00AC6AB9" w:rsidTr="00215988">
        <w:tc>
          <w:tcPr>
            <w:tcW w:w="6138" w:type="dxa"/>
          </w:tcPr>
          <w:p w:rsidR="00215988" w:rsidRPr="00AC6AB9" w:rsidRDefault="00215988" w:rsidP="00235DD1">
            <w:pPr>
              <w:pStyle w:val="ListParagraph"/>
              <w:numPr>
                <w:ilvl w:val="0"/>
                <w:numId w:val="10"/>
              </w:numPr>
            </w:pPr>
            <w:proofErr w:type="spellStart"/>
            <w:r w:rsidRPr="00AC6AB9">
              <w:t>MABHA</w:t>
            </w:r>
            <w:proofErr w:type="spellEnd"/>
            <w:r w:rsidRPr="00AC6AB9">
              <w:t xml:space="preserve"> be continued to be operated by MBHP</w:t>
            </w:r>
          </w:p>
        </w:tc>
        <w:tc>
          <w:tcPr>
            <w:tcW w:w="6300" w:type="dxa"/>
          </w:tcPr>
          <w:p w:rsidR="00215988" w:rsidRPr="00AC6AB9" w:rsidRDefault="00215988">
            <w:r w:rsidRPr="00AC6AB9">
              <w:t xml:space="preserve">Report from the </w:t>
            </w:r>
            <w:r w:rsidRPr="00AC6AB9">
              <w:rPr>
                <w:b/>
              </w:rPr>
              <w:t>Special Commission</w:t>
            </w:r>
            <w:r w:rsidRPr="00AC6AB9">
              <w:t xml:space="preserve"> to Investigate the </w:t>
            </w:r>
            <w:r w:rsidRPr="00AC6AB9">
              <w:lastRenderedPageBreak/>
              <w:t xml:space="preserve">Expansion and Enhancement of </w:t>
            </w:r>
            <w:r w:rsidRPr="00AC6AB9">
              <w:rPr>
                <w:b/>
              </w:rPr>
              <w:t>the MABHA Website</w:t>
            </w:r>
          </w:p>
          <w:p w:rsidR="00215988" w:rsidRPr="00AC6AB9" w:rsidRDefault="00215988">
            <w:r w:rsidRPr="00AC6AB9">
              <w:t>12/2014</w:t>
            </w:r>
          </w:p>
        </w:tc>
      </w:tr>
      <w:tr w:rsidR="00215988" w:rsidRPr="00AC6AB9" w:rsidTr="00215988">
        <w:tc>
          <w:tcPr>
            <w:tcW w:w="6138" w:type="dxa"/>
          </w:tcPr>
          <w:p w:rsidR="00215988" w:rsidRPr="00AC6AB9" w:rsidRDefault="00215988" w:rsidP="008D04B9">
            <w:pPr>
              <w:pStyle w:val="ListParagraph"/>
              <w:numPr>
                <w:ilvl w:val="0"/>
                <w:numId w:val="10"/>
              </w:numPr>
            </w:pPr>
            <w:r w:rsidRPr="00AC6AB9">
              <w:lastRenderedPageBreak/>
              <w:t>Develop standards for the level of detail to be included in provider and plan records.</w:t>
            </w:r>
          </w:p>
        </w:tc>
        <w:tc>
          <w:tcPr>
            <w:tcW w:w="6300" w:type="dxa"/>
          </w:tcPr>
          <w:p w:rsidR="00215988" w:rsidRPr="00AC6AB9" w:rsidRDefault="00215988" w:rsidP="002F0E6B">
            <w:r w:rsidRPr="00AC6AB9">
              <w:rPr>
                <w:b/>
              </w:rPr>
              <w:t>DOI Report</w:t>
            </w:r>
            <w:r w:rsidRPr="00AC6AB9">
              <w:t xml:space="preserve"> Summarizing the Study of Differences Between Behavioral Health and Non-Behavioral Health Treatment Records for Massachusetts Health Insurance Carriers When Referring Patients from Hospital Emergency Departments</w:t>
            </w:r>
          </w:p>
          <w:p w:rsidR="00215988" w:rsidRPr="00AC6AB9" w:rsidRDefault="00215988" w:rsidP="002F0E6B">
            <w:r w:rsidRPr="00AC6AB9">
              <w:t>7/2014</w:t>
            </w:r>
          </w:p>
          <w:p w:rsidR="00215988" w:rsidRPr="00AC6AB9" w:rsidRDefault="00215988" w:rsidP="002F0E6B">
            <w:hyperlink r:id="rId9" w:history="1">
              <w:r w:rsidRPr="00AC6AB9">
                <w:rPr>
                  <w:rStyle w:val="Hyperlink"/>
                </w:rPr>
                <w:t>http://www.mass.gov/ocabr/docs/doi/examination-of-carriers-compliance.pdf</w:t>
              </w:r>
            </w:hyperlink>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 Use bed finder to find appropriate out of network beds, when in-network beds are not available.</w:t>
            </w:r>
          </w:p>
        </w:tc>
        <w:tc>
          <w:tcPr>
            <w:tcW w:w="6300" w:type="dxa"/>
          </w:tcPr>
          <w:p w:rsidR="00215988" w:rsidRPr="00AC6AB9" w:rsidRDefault="00215988" w:rsidP="002F0E6B">
            <w:r w:rsidRPr="00AC6AB9">
              <w:rPr>
                <w:b/>
              </w:rPr>
              <w:t>DOI Report</w:t>
            </w:r>
            <w:r w:rsidRPr="00AC6AB9">
              <w:t xml:space="preserve"> Summarizing the Study of Differences Between Behavioral Health and Non-Behavioral Health Treatment Records for Massachusetts Health Insurance Carriers When Referring Patients from Hospital Emergency Departments</w:t>
            </w:r>
          </w:p>
          <w:p w:rsidR="00215988" w:rsidRPr="00AC6AB9" w:rsidRDefault="00215988" w:rsidP="002F0E6B">
            <w:r w:rsidRPr="00AC6AB9">
              <w:t>7/2014</w:t>
            </w:r>
          </w:p>
          <w:p w:rsidR="00215988" w:rsidRPr="00AC6AB9" w:rsidRDefault="00215988" w:rsidP="002F0E6B">
            <w:hyperlink r:id="rId10" w:history="1">
              <w:r w:rsidRPr="00AC6AB9">
                <w:rPr>
                  <w:rStyle w:val="Hyperlink"/>
                </w:rPr>
                <w:t>http://www.mass.gov/ocabr/docs/doi/examination-of-carriers-compliance.pdf</w:t>
              </w:r>
            </w:hyperlink>
          </w:p>
        </w:tc>
      </w:tr>
      <w:tr w:rsidR="00215988" w:rsidRPr="00AC6AB9" w:rsidTr="00215988">
        <w:tc>
          <w:tcPr>
            <w:tcW w:w="6138" w:type="dxa"/>
          </w:tcPr>
          <w:p w:rsidR="00215988" w:rsidRPr="00AC6AB9" w:rsidRDefault="00215988" w:rsidP="008D04B9">
            <w:pPr>
              <w:pStyle w:val="ListParagraph"/>
              <w:numPr>
                <w:ilvl w:val="0"/>
                <w:numId w:val="10"/>
              </w:numPr>
            </w:pPr>
            <w:r w:rsidRPr="00AC6AB9">
              <w:t>Study real-time problem in obtaining BH follow-up care.</w:t>
            </w:r>
          </w:p>
        </w:tc>
        <w:tc>
          <w:tcPr>
            <w:tcW w:w="6300" w:type="dxa"/>
          </w:tcPr>
          <w:p w:rsidR="00215988" w:rsidRPr="00AC6AB9" w:rsidRDefault="00215988" w:rsidP="002F0E6B">
            <w:r w:rsidRPr="00AC6AB9">
              <w:rPr>
                <w:b/>
              </w:rPr>
              <w:t>DOI Report</w:t>
            </w:r>
            <w:r w:rsidRPr="00AC6AB9">
              <w:t xml:space="preserve"> Summarizing the Study of Differences Between Behavioral Health and Non-Behavioral Health Treatment Records for Massachusetts Health Insurance Carriers When Referring Patients from Hospital Emergency Departments</w:t>
            </w:r>
          </w:p>
          <w:p w:rsidR="00215988" w:rsidRPr="00AC6AB9" w:rsidRDefault="00215988" w:rsidP="002F0E6B">
            <w:r w:rsidRPr="00AC6AB9">
              <w:t>7/2014</w:t>
            </w:r>
          </w:p>
          <w:p w:rsidR="00215988" w:rsidRPr="00AC6AB9" w:rsidRDefault="00215988" w:rsidP="002F0E6B">
            <w:hyperlink r:id="rId11" w:history="1">
              <w:r w:rsidRPr="00AC6AB9">
                <w:rPr>
                  <w:rStyle w:val="Hyperlink"/>
                </w:rPr>
                <w:t>http://www.mass.gov/ocabr/docs/doi/examination-of-carriers-compliance.pdf</w:t>
              </w:r>
            </w:hyperlink>
          </w:p>
        </w:tc>
      </w:tr>
      <w:tr w:rsidR="00215988" w:rsidRPr="00AC6AB9" w:rsidTr="00215988">
        <w:tc>
          <w:tcPr>
            <w:tcW w:w="6138" w:type="dxa"/>
          </w:tcPr>
          <w:p w:rsidR="00215988" w:rsidRPr="00AC6AB9" w:rsidRDefault="00215988" w:rsidP="00E632C9">
            <w:pPr>
              <w:pStyle w:val="ListParagraph"/>
              <w:numPr>
                <w:ilvl w:val="0"/>
                <w:numId w:val="10"/>
              </w:numPr>
            </w:pPr>
            <w:r w:rsidRPr="00AC6AB9">
              <w:t xml:space="preserve"> Strengthen parity certification process to collect more information about systems used in reviewing BH and non BH care for ED patients</w:t>
            </w:r>
          </w:p>
        </w:tc>
        <w:tc>
          <w:tcPr>
            <w:tcW w:w="6300" w:type="dxa"/>
          </w:tcPr>
          <w:p w:rsidR="00215988" w:rsidRPr="00AC6AB9" w:rsidRDefault="00215988" w:rsidP="002F0E6B">
            <w:r w:rsidRPr="00AC6AB9">
              <w:rPr>
                <w:b/>
              </w:rPr>
              <w:t>DOI Report</w:t>
            </w:r>
            <w:r w:rsidRPr="00AC6AB9">
              <w:t xml:space="preserve"> Summarizing the Study of Differences Between Behavioral Health and Non-Behavioral Health Treatment Records for Massachusetts Health Insurance Carriers When Referring Patients from Hospital Emergency Departments</w:t>
            </w:r>
          </w:p>
          <w:p w:rsidR="00215988" w:rsidRPr="00AC6AB9" w:rsidRDefault="00215988" w:rsidP="002F0E6B">
            <w:r w:rsidRPr="00AC6AB9">
              <w:t>7/2014</w:t>
            </w:r>
          </w:p>
          <w:p w:rsidR="00215988" w:rsidRPr="00AC6AB9" w:rsidRDefault="00215988" w:rsidP="002F0E6B">
            <w:hyperlink r:id="rId12" w:history="1">
              <w:r w:rsidRPr="00AC6AB9">
                <w:rPr>
                  <w:rStyle w:val="Hyperlink"/>
                </w:rPr>
                <w:t>http://www.mass.gov/ocabr/docs/doi/examination-of-carriers-compliance.pdf</w:t>
              </w:r>
            </w:hyperlink>
          </w:p>
        </w:tc>
      </w:tr>
      <w:tr w:rsidR="00215988" w:rsidRPr="00AC6AB9" w:rsidTr="00215988">
        <w:tc>
          <w:tcPr>
            <w:tcW w:w="6138" w:type="dxa"/>
          </w:tcPr>
          <w:p w:rsidR="00215988" w:rsidRPr="00AC6AB9" w:rsidRDefault="00862DC2" w:rsidP="00862DC2">
            <w:pPr>
              <w:pStyle w:val="ListParagraph"/>
              <w:numPr>
                <w:ilvl w:val="0"/>
                <w:numId w:val="10"/>
              </w:numPr>
            </w:pPr>
            <w:r>
              <w:t xml:space="preserve">Develop standards to </w:t>
            </w:r>
            <w:r w:rsidR="00215988" w:rsidRPr="00AC6AB9">
              <w:t xml:space="preserve">ensure plans have adequate </w:t>
            </w:r>
            <w:proofErr w:type="spellStart"/>
            <w:r w:rsidR="00215988" w:rsidRPr="00AC6AB9">
              <w:t>BH</w:t>
            </w:r>
            <w:proofErr w:type="spellEnd"/>
            <w:r w:rsidR="00215988" w:rsidRPr="00AC6AB9">
              <w:t xml:space="preserve"> networks</w:t>
            </w:r>
          </w:p>
        </w:tc>
        <w:tc>
          <w:tcPr>
            <w:tcW w:w="6300" w:type="dxa"/>
          </w:tcPr>
          <w:p w:rsidR="00215988" w:rsidRPr="00AC6AB9" w:rsidRDefault="00215988" w:rsidP="0054611F">
            <w:r w:rsidRPr="00AC6AB9">
              <w:rPr>
                <w:b/>
              </w:rPr>
              <w:t>DOI Report</w:t>
            </w:r>
            <w:r w:rsidRPr="00AC6AB9">
              <w:t xml:space="preserve"> Summarizing the Study of Differences Between Behavioral Health and Non-Behavioral Health Treatment </w:t>
            </w:r>
            <w:r w:rsidRPr="00AC6AB9">
              <w:lastRenderedPageBreak/>
              <w:t>Records for Massachusetts Health Insurance Carriers When Referring Patients from Hospital Emergency Departments</w:t>
            </w:r>
          </w:p>
          <w:p w:rsidR="00215988" w:rsidRPr="00AC6AB9" w:rsidRDefault="00215988" w:rsidP="0054611F">
            <w:r w:rsidRPr="00AC6AB9">
              <w:t>7/2014</w:t>
            </w:r>
          </w:p>
          <w:p w:rsidR="00215988" w:rsidRPr="00AC6AB9" w:rsidRDefault="00215988" w:rsidP="0054611F">
            <w:hyperlink r:id="rId13" w:history="1">
              <w:r w:rsidRPr="00AC6AB9">
                <w:rPr>
                  <w:rStyle w:val="Hyperlink"/>
                </w:rPr>
                <w:t>http://www.mass.gov/ocabr/docs/doi/examination-of-carriers-compliance.pdf</w:t>
              </w:r>
            </w:hyperlink>
          </w:p>
        </w:tc>
      </w:tr>
      <w:tr w:rsidR="00215988" w:rsidRPr="00AC6AB9" w:rsidTr="00215988">
        <w:tc>
          <w:tcPr>
            <w:tcW w:w="6138" w:type="dxa"/>
          </w:tcPr>
          <w:p w:rsidR="00215988" w:rsidRPr="00AC6AB9" w:rsidRDefault="00215988" w:rsidP="008D04B9">
            <w:pPr>
              <w:pStyle w:val="ListParagraph"/>
              <w:numPr>
                <w:ilvl w:val="0"/>
                <w:numId w:val="10"/>
              </w:numPr>
            </w:pPr>
            <w:r w:rsidRPr="00AC6AB9">
              <w:lastRenderedPageBreak/>
              <w:t>Establish single authority to make determinations for placement for patients who have extended boarding, been refused admission or whose course of treatment is in dispute</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Defined terms and more transparent reporting of reasons that a DMH licensed facility denies admission to a patient.</w:t>
            </w:r>
          </w:p>
        </w:tc>
        <w:tc>
          <w:tcPr>
            <w:tcW w:w="6300" w:type="dxa"/>
          </w:tcPr>
          <w:p w:rsidR="00215988" w:rsidRPr="00AC6AB9" w:rsidRDefault="00215988" w:rsidP="00064C1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064C1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Passage of House Bill </w:t>
            </w:r>
            <w:proofErr w:type="gramStart"/>
            <w:r w:rsidRPr="00AC6AB9">
              <w:t>1788  (</w:t>
            </w:r>
            <w:proofErr w:type="gramEnd"/>
            <w:r w:rsidRPr="00AC6AB9">
              <w:t>2013-2014) which would provide licensure of beds designated for “difficult to manage” patients.</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Consideration of Taunton State hospital or other sites for pilot programs that divert high acuity and dual diagnosis patients away from EDs</w:t>
            </w:r>
          </w:p>
        </w:tc>
        <w:tc>
          <w:tcPr>
            <w:tcW w:w="6300" w:type="dxa"/>
          </w:tcPr>
          <w:p w:rsidR="00215988" w:rsidRPr="00AC6AB9" w:rsidRDefault="00215988" w:rsidP="00064C1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064C1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Regulation to provide appropriate staffing levels in all care facilities on the weekend</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 New investment in community level behavioral health care that would supplement (and not come at the expense of) continuing care / </w:t>
            </w:r>
            <w:proofErr w:type="spellStart"/>
            <w:r w:rsidRPr="00AC6AB9">
              <w:t>ip</w:t>
            </w:r>
            <w:proofErr w:type="spellEnd"/>
            <w:r w:rsidRPr="00AC6AB9">
              <w:t xml:space="preserve"> acute – create Behavioral Health and Addiction services trust and strengthen the OP BH system</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Legislation to supersede out of network restrictions for ED boarders</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w:t>
            </w:r>
            <w:r w:rsidRPr="00AC6AB9">
              <w:lastRenderedPageBreak/>
              <w:t>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lastRenderedPageBreak/>
              <w:t>Increased participation by commercial insurers in bed search and placement and increased reimbursement to the provider who must board the patient in their facility</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Increased support by all payers to find adequate services  or put in place a reimbursable alternative</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086405">
            <w:pPr>
              <w:pStyle w:val="ListParagraph"/>
              <w:numPr>
                <w:ilvl w:val="0"/>
                <w:numId w:val="10"/>
              </w:numPr>
            </w:pPr>
            <w:r w:rsidRPr="00AC6AB9">
              <w:t>Exploration of further possibilities to enhance reimbursement rates relative to behavioral health services.</w:t>
            </w:r>
          </w:p>
        </w:tc>
        <w:tc>
          <w:tcPr>
            <w:tcW w:w="6300" w:type="dxa"/>
          </w:tcPr>
          <w:p w:rsidR="00215988" w:rsidRPr="00AC6AB9" w:rsidRDefault="00215988" w:rsidP="00086405">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086405">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 Define terms and require more transparent reporting of reasons that a patient is denied by any entity</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 Legislation / regulation to define appropriate use of AND rates and restrict overuse of this coding during boarding</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 Identify further opportunities to enhance reimbursement rates</w:t>
            </w:r>
          </w:p>
        </w:tc>
        <w:tc>
          <w:tcPr>
            <w:tcW w:w="6300" w:type="dxa"/>
          </w:tcPr>
          <w:p w:rsidR="00215988" w:rsidRPr="00AC6AB9" w:rsidRDefault="00215988" w:rsidP="002F0E6B">
            <w:r w:rsidRPr="00AC6AB9">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2F0E6B">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 xml:space="preserve"> Promulgation by DMH in consultation with CHIA, of uniform definitions and standards for reporting on certain metrics and outcomes for adults and children in the area of behavioral health, to include performance targets for (1) ED Wait times (2) LO time to process application for DMH services; (3) LO </w:t>
            </w:r>
            <w:r w:rsidRPr="00AC6AB9">
              <w:lastRenderedPageBreak/>
              <w:t>time to transfer a patient after a determination is made; (4) LO time to return a p/a request and others…</w:t>
            </w:r>
          </w:p>
        </w:tc>
        <w:tc>
          <w:tcPr>
            <w:tcW w:w="6300" w:type="dxa"/>
          </w:tcPr>
          <w:p w:rsidR="00215988" w:rsidRPr="00AC6AB9" w:rsidRDefault="00215988" w:rsidP="005242EC">
            <w:r w:rsidRPr="00AC6AB9">
              <w:lastRenderedPageBreak/>
              <w:t xml:space="preserve">Report of the </w:t>
            </w:r>
            <w:r w:rsidRPr="00AC6AB9">
              <w:rPr>
                <w:b/>
              </w:rPr>
              <w:t>Mental Health Advisory Council</w:t>
            </w:r>
            <w:r w:rsidRPr="00AC6AB9">
              <w:t xml:space="preserve"> in accordance with Section 186 of Chapter 139 of the Acts of 2012 and Chapter 38 of the Acts of 2013</w:t>
            </w:r>
          </w:p>
          <w:p w:rsidR="00215988" w:rsidRPr="00AC6AB9" w:rsidRDefault="00215988" w:rsidP="005242EC">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lastRenderedPageBreak/>
              <w:t>Improve processes to facilitate weekend discharges to allow for weekend admissions</w:t>
            </w:r>
          </w:p>
        </w:tc>
        <w:tc>
          <w:tcPr>
            <w:tcW w:w="6300" w:type="dxa"/>
          </w:tcPr>
          <w:p w:rsidR="00215988" w:rsidRPr="00AC6AB9" w:rsidRDefault="00215988" w:rsidP="003271CA">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3271CA">
            <w:pPr>
              <w:rPr>
                <w:b/>
              </w:rPr>
            </w:pPr>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Reassess the need for medical clearance processes, especially for well-known individuals</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Enforce no reject provisions in hospital contracts</w:t>
            </w:r>
          </w:p>
        </w:tc>
        <w:tc>
          <w:tcPr>
            <w:tcW w:w="6300" w:type="dxa"/>
          </w:tcPr>
          <w:p w:rsidR="00215988" w:rsidRPr="00AC6AB9" w:rsidRDefault="00215988" w:rsidP="00086405">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086405">
            <w:r w:rsidRPr="00AC6AB9">
              <w:t>6/2014</w:t>
            </w:r>
          </w:p>
        </w:tc>
      </w:tr>
      <w:tr w:rsidR="00215988" w:rsidRPr="00AC6AB9" w:rsidTr="00215988">
        <w:tc>
          <w:tcPr>
            <w:tcW w:w="6138" w:type="dxa"/>
          </w:tcPr>
          <w:p w:rsidR="00215988" w:rsidRPr="00AC6AB9" w:rsidRDefault="004F0CA7" w:rsidP="00235DD1">
            <w:pPr>
              <w:pStyle w:val="ListParagraph"/>
              <w:numPr>
                <w:ilvl w:val="0"/>
                <w:numId w:val="10"/>
              </w:numPr>
            </w:pPr>
            <w:r w:rsidRPr="00AC6AB9">
              <w:t>Increase use of peer support services</w:t>
            </w:r>
            <w:r>
              <w:t>, including peers</w:t>
            </w:r>
            <w:r w:rsidRPr="00AC6AB9">
              <w:t xml:space="preserve"> attached to ESPs</w:t>
            </w:r>
            <w:r>
              <w:t xml:space="preserve"> to provide early diversion services, reduce stress and advocate for the needs of individuals awaiting hospital admission.</w:t>
            </w:r>
            <w:bookmarkStart w:id="0" w:name="_GoBack"/>
            <w:bookmarkEnd w:id="0"/>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Increase access to treatment for substance use disorders</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9016DE">
            <w:pPr>
              <w:pStyle w:val="ListParagraph"/>
              <w:numPr>
                <w:ilvl w:val="0"/>
                <w:numId w:val="10"/>
              </w:numPr>
            </w:pPr>
            <w:r w:rsidRPr="00AC6AB9">
              <w:t>DPH and its vendors should be active partners in any initiative to reduce ED boarding</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Increase the visibility of available diversionary services</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9016DE">
            <w:pPr>
              <w:pStyle w:val="ListParagraph"/>
              <w:numPr>
                <w:ilvl w:val="0"/>
                <w:numId w:val="10"/>
              </w:numPr>
            </w:pPr>
            <w:r w:rsidRPr="00AC6AB9">
              <w:t>Increase the capacity of mobile crisis teams and their ability to bill for stabilization services</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Increase reimbursement for psychiatric inpatient admissions to allow for staffing and coordination of individuals with complex needs</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3271CA">
            <w:pPr>
              <w:pStyle w:val="ListParagraph"/>
              <w:numPr>
                <w:ilvl w:val="0"/>
                <w:numId w:val="10"/>
              </w:numPr>
            </w:pPr>
            <w:r w:rsidRPr="00AC6AB9">
              <w:t xml:space="preserve">Increase use of separate but adjacent psychiatric EDs </w:t>
            </w:r>
            <w:r w:rsidRPr="00AC6AB9">
              <w:lastRenderedPageBreak/>
              <w:t>within the hospital</w:t>
            </w:r>
          </w:p>
        </w:tc>
        <w:tc>
          <w:tcPr>
            <w:tcW w:w="6300" w:type="dxa"/>
          </w:tcPr>
          <w:p w:rsidR="00215988" w:rsidRPr="00AC6AB9" w:rsidRDefault="00215988" w:rsidP="008D04B9">
            <w:pPr>
              <w:rPr>
                <w:b/>
              </w:rPr>
            </w:pPr>
            <w:r w:rsidRPr="00AC6AB9">
              <w:lastRenderedPageBreak/>
              <w:t>Report of the</w:t>
            </w:r>
            <w:r w:rsidRPr="00AC6AB9">
              <w:rPr>
                <w:b/>
              </w:rPr>
              <w:t xml:space="preserve"> Mental Health Advisory Council – </w:t>
            </w:r>
            <w:r w:rsidRPr="00AC6AB9">
              <w:t xml:space="preserve">Appendix C </w:t>
            </w:r>
            <w:r w:rsidRPr="00AC6AB9">
              <w:lastRenderedPageBreak/>
              <w:t>–</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lastRenderedPageBreak/>
              <w:t>Allow Medicaid billing for follow-up mobile crisis intervention for adults similar to billing allowed for children and adolescent</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Clarify issues around the need for Section 12 commitments for medical transportation</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Examine ways to improve crisis prevention and response across the continuum</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235DD1">
            <w:pPr>
              <w:pStyle w:val="ListParagraph"/>
              <w:numPr>
                <w:ilvl w:val="0"/>
                <w:numId w:val="10"/>
              </w:numPr>
            </w:pPr>
            <w:r w:rsidRPr="00AC6AB9">
              <w:t>Collect and utilize data to analyze trends in hospital admissions, diversions, and ED boarding across payers and populations</w:t>
            </w:r>
          </w:p>
        </w:tc>
        <w:tc>
          <w:tcPr>
            <w:tcW w:w="6300" w:type="dxa"/>
          </w:tcPr>
          <w:p w:rsidR="00215988" w:rsidRPr="00AC6AB9" w:rsidRDefault="00215988" w:rsidP="008D04B9">
            <w:pPr>
              <w:rPr>
                <w:b/>
              </w:rPr>
            </w:pPr>
            <w:r w:rsidRPr="00AC6AB9">
              <w:t>Report of the</w:t>
            </w:r>
            <w:r w:rsidRPr="00AC6AB9">
              <w:rPr>
                <w:b/>
              </w:rPr>
              <w:t xml:space="preserve"> Mental Health Advisory Council – </w:t>
            </w:r>
            <w:r w:rsidRPr="00AC6AB9">
              <w:t>Appendix C –</w:t>
            </w:r>
            <w:r w:rsidRPr="00AC6AB9">
              <w:rPr>
                <w:b/>
              </w:rPr>
              <w:t xml:space="preserve"> Consultant Report </w:t>
            </w:r>
            <w:proofErr w:type="spellStart"/>
            <w:r w:rsidRPr="00AC6AB9">
              <w:rPr>
                <w:b/>
              </w:rPr>
              <w:t>Abt</w:t>
            </w:r>
            <w:proofErr w:type="spellEnd"/>
            <w:r w:rsidRPr="00AC6AB9">
              <w:rPr>
                <w:b/>
              </w:rPr>
              <w:t xml:space="preserve"> </w:t>
            </w:r>
          </w:p>
          <w:p w:rsidR="00215988" w:rsidRPr="00AC6AB9" w:rsidRDefault="00215988" w:rsidP="008D04B9">
            <w:pPr>
              <w:rPr>
                <w:b/>
              </w:rPr>
            </w:pPr>
            <w:r w:rsidRPr="00AC6AB9">
              <w:t>6/2014</w:t>
            </w:r>
          </w:p>
        </w:tc>
      </w:tr>
      <w:tr w:rsidR="00215988" w:rsidRPr="00AC6AB9" w:rsidTr="00215988">
        <w:tc>
          <w:tcPr>
            <w:tcW w:w="6138" w:type="dxa"/>
          </w:tcPr>
          <w:p w:rsidR="00215988" w:rsidRPr="00AC6AB9" w:rsidRDefault="00215988" w:rsidP="008D04B9">
            <w:pPr>
              <w:pStyle w:val="ListParagraph"/>
              <w:numPr>
                <w:ilvl w:val="0"/>
                <w:numId w:val="10"/>
              </w:numPr>
            </w:pPr>
            <w:r w:rsidRPr="00AC6AB9">
              <w:t>Create a mechanism for capturing information about facilities that show a pattern of declining patients.</w:t>
            </w:r>
          </w:p>
        </w:tc>
        <w:tc>
          <w:tcPr>
            <w:tcW w:w="6300" w:type="dxa"/>
          </w:tcPr>
          <w:p w:rsidR="00215988" w:rsidRPr="00AC6AB9" w:rsidRDefault="00215988" w:rsidP="002F0E6B">
            <w:r w:rsidRPr="00AC6AB9">
              <w:rPr>
                <w:b/>
              </w:rPr>
              <w:t>EOHHS</w:t>
            </w:r>
            <w:r w:rsidRPr="00AC6AB9">
              <w:t>:  ED Length of Stay Issues for Behavioral Health Patients</w:t>
            </w:r>
          </w:p>
          <w:p w:rsidR="00215988" w:rsidRDefault="00215988" w:rsidP="002F0E6B">
            <w:r w:rsidRPr="00AC6AB9">
              <w:t>1/2013</w:t>
            </w:r>
          </w:p>
          <w:p w:rsidR="00862DC2" w:rsidRPr="00AC6AB9" w:rsidRDefault="00862DC2" w:rsidP="002F0E6B">
            <w:hyperlink r:id="rId14"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8D04B9">
            <w:pPr>
              <w:pStyle w:val="ListParagraph"/>
              <w:numPr>
                <w:ilvl w:val="0"/>
                <w:numId w:val="10"/>
              </w:numPr>
            </w:pPr>
            <w:r w:rsidRPr="00AC6AB9">
              <w:t>Prohibit prior authorization requirement in MCE contracts.</w:t>
            </w:r>
          </w:p>
        </w:tc>
        <w:tc>
          <w:tcPr>
            <w:tcW w:w="6300" w:type="dxa"/>
          </w:tcPr>
          <w:p w:rsidR="00215988" w:rsidRPr="00AC6AB9" w:rsidRDefault="00215988" w:rsidP="002F0E6B">
            <w:r w:rsidRPr="00AC6AB9">
              <w:rPr>
                <w:b/>
              </w:rPr>
              <w:t>EOHHS</w:t>
            </w:r>
            <w:r w:rsidRPr="00AC6AB9">
              <w:t>:  ED Length of Stay Issues for Behavioral Health Patients</w:t>
            </w:r>
          </w:p>
          <w:p w:rsidR="00215988" w:rsidRDefault="00215988" w:rsidP="002F0E6B">
            <w:r w:rsidRPr="00AC6AB9">
              <w:t>1/2013</w:t>
            </w:r>
          </w:p>
          <w:p w:rsidR="00862DC2" w:rsidRPr="00AC6AB9" w:rsidRDefault="00862DC2" w:rsidP="002F0E6B">
            <w:hyperlink r:id="rId15"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8D04B9">
            <w:pPr>
              <w:pStyle w:val="ListParagraph"/>
              <w:numPr>
                <w:ilvl w:val="0"/>
                <w:numId w:val="10"/>
              </w:numPr>
            </w:pPr>
            <w:r w:rsidRPr="00AC6AB9">
              <w:t>Strengthen community based intervention</w:t>
            </w:r>
          </w:p>
          <w:p w:rsidR="00215988" w:rsidRPr="00AC6AB9" w:rsidRDefault="00215988" w:rsidP="008D04B9">
            <w:pPr>
              <w:pStyle w:val="ListParagraph"/>
              <w:numPr>
                <w:ilvl w:val="1"/>
                <w:numId w:val="10"/>
              </w:numPr>
            </w:pPr>
            <w:r w:rsidRPr="00AC6AB9">
              <w:t>ESPs</w:t>
            </w:r>
          </w:p>
        </w:tc>
        <w:tc>
          <w:tcPr>
            <w:tcW w:w="6300" w:type="dxa"/>
          </w:tcPr>
          <w:p w:rsidR="00215988" w:rsidRPr="00AC6AB9" w:rsidRDefault="00215988" w:rsidP="002F0E6B">
            <w:r w:rsidRPr="00AC6AB9">
              <w:rPr>
                <w:b/>
              </w:rPr>
              <w:t>EOHHS</w:t>
            </w:r>
            <w:r w:rsidRPr="00AC6AB9">
              <w:t>:  ED Length of Stay Issues for Behavioral Health Patients</w:t>
            </w:r>
          </w:p>
          <w:p w:rsidR="00215988" w:rsidRDefault="00215988" w:rsidP="002F0E6B">
            <w:r w:rsidRPr="00AC6AB9">
              <w:t>1/2013</w:t>
            </w:r>
          </w:p>
          <w:p w:rsidR="00862DC2" w:rsidRPr="00AC6AB9" w:rsidRDefault="00862DC2" w:rsidP="002F0E6B">
            <w:hyperlink r:id="rId16"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2E1DEA">
            <w:pPr>
              <w:pStyle w:val="ListParagraph"/>
              <w:numPr>
                <w:ilvl w:val="0"/>
                <w:numId w:val="10"/>
              </w:numPr>
            </w:pPr>
            <w:r w:rsidRPr="00AC6AB9">
              <w:t xml:space="preserve">Strengthen discharge planning for patients leaving acute inpatient psychiatric units – DMH staff to participate in discharge planning for patients going </w:t>
            </w:r>
            <w:r w:rsidRPr="00AC6AB9">
              <w:lastRenderedPageBreak/>
              <w:t>to DMH Continuing Care facilities to pre-empt them to the community</w:t>
            </w:r>
          </w:p>
        </w:tc>
        <w:tc>
          <w:tcPr>
            <w:tcW w:w="6300" w:type="dxa"/>
          </w:tcPr>
          <w:p w:rsidR="00215988" w:rsidRPr="00AC6AB9" w:rsidRDefault="00215988">
            <w:r w:rsidRPr="00AC6AB9">
              <w:rPr>
                <w:b/>
              </w:rPr>
              <w:lastRenderedPageBreak/>
              <w:t>EOHHS</w:t>
            </w:r>
            <w:r w:rsidRPr="00AC6AB9">
              <w:t>:  ED Length of Stay Issues for Behavioral Health Patients</w:t>
            </w:r>
          </w:p>
          <w:p w:rsidR="00215988" w:rsidRDefault="00215988">
            <w:r w:rsidRPr="00AC6AB9">
              <w:t>1/2013</w:t>
            </w:r>
          </w:p>
          <w:p w:rsidR="00862DC2" w:rsidRPr="00AC6AB9" w:rsidRDefault="00862DC2">
            <w:hyperlink r:id="rId17"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2E1DEA">
            <w:pPr>
              <w:pStyle w:val="ListParagraph"/>
              <w:numPr>
                <w:ilvl w:val="0"/>
                <w:numId w:val="10"/>
              </w:numPr>
            </w:pPr>
            <w:r w:rsidRPr="00AC6AB9">
              <w:lastRenderedPageBreak/>
              <w:t xml:space="preserve">Restructure </w:t>
            </w:r>
            <w:proofErr w:type="spellStart"/>
            <w:r w:rsidRPr="00AC6AB9">
              <w:t>MassHealth</w:t>
            </w:r>
            <w:proofErr w:type="spellEnd"/>
            <w:r w:rsidRPr="00AC6AB9">
              <w:t xml:space="preserve"> rapid admission incentive</w:t>
            </w:r>
          </w:p>
        </w:tc>
        <w:tc>
          <w:tcPr>
            <w:tcW w:w="6300" w:type="dxa"/>
          </w:tcPr>
          <w:p w:rsidR="00215988" w:rsidRPr="00AC6AB9" w:rsidRDefault="00215988" w:rsidP="005242EC">
            <w:r w:rsidRPr="00AC6AB9">
              <w:rPr>
                <w:b/>
              </w:rPr>
              <w:t>EOHHS</w:t>
            </w:r>
            <w:r w:rsidRPr="00AC6AB9">
              <w:t>:  ED Length of Stay Issues for Behavioral Health Patients</w:t>
            </w:r>
          </w:p>
          <w:p w:rsidR="00215988" w:rsidRDefault="00215988" w:rsidP="005242EC">
            <w:r w:rsidRPr="00AC6AB9">
              <w:t>1/2013</w:t>
            </w:r>
          </w:p>
          <w:p w:rsidR="00862DC2" w:rsidRPr="00AC6AB9" w:rsidRDefault="00862DC2" w:rsidP="005242EC">
            <w:hyperlink r:id="rId18"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2E1DEA">
            <w:pPr>
              <w:pStyle w:val="ListParagraph"/>
              <w:numPr>
                <w:ilvl w:val="0"/>
                <w:numId w:val="10"/>
              </w:numPr>
            </w:pPr>
            <w:r w:rsidRPr="00AC6AB9">
              <w:t>Expand use of bed finder</w:t>
            </w:r>
          </w:p>
        </w:tc>
        <w:tc>
          <w:tcPr>
            <w:tcW w:w="6300" w:type="dxa"/>
          </w:tcPr>
          <w:p w:rsidR="00215988" w:rsidRPr="00AC6AB9" w:rsidRDefault="00215988" w:rsidP="005242EC">
            <w:r w:rsidRPr="00AC6AB9">
              <w:rPr>
                <w:b/>
              </w:rPr>
              <w:t>EOHHS</w:t>
            </w:r>
            <w:r w:rsidRPr="00AC6AB9">
              <w:t>:  ED Length of Stay Issues for Behavioral Health Patients</w:t>
            </w:r>
          </w:p>
          <w:p w:rsidR="00215988" w:rsidRDefault="00215988" w:rsidP="005242EC">
            <w:r w:rsidRPr="00AC6AB9">
              <w:t>1/2013</w:t>
            </w:r>
          </w:p>
          <w:p w:rsidR="00862DC2" w:rsidRPr="00AC6AB9" w:rsidRDefault="00862DC2" w:rsidP="005242EC">
            <w:hyperlink r:id="rId19"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9F5EE1">
            <w:pPr>
              <w:pStyle w:val="ListParagraph"/>
              <w:numPr>
                <w:ilvl w:val="0"/>
                <w:numId w:val="10"/>
              </w:numPr>
            </w:pPr>
            <w:r w:rsidRPr="00AC6AB9">
              <w:t>Evaluate payment structure for psychiatric care</w:t>
            </w:r>
          </w:p>
        </w:tc>
        <w:tc>
          <w:tcPr>
            <w:tcW w:w="6300" w:type="dxa"/>
          </w:tcPr>
          <w:p w:rsidR="00215988" w:rsidRPr="00AC6AB9" w:rsidRDefault="00215988" w:rsidP="005242EC">
            <w:r w:rsidRPr="00AC6AB9">
              <w:rPr>
                <w:b/>
              </w:rPr>
              <w:t>EOHHS</w:t>
            </w:r>
            <w:r w:rsidRPr="00AC6AB9">
              <w:t>:  ED Length of Stay Issues for Behavioral Health Patients</w:t>
            </w:r>
          </w:p>
          <w:p w:rsidR="00215988" w:rsidRDefault="00215988" w:rsidP="005242EC">
            <w:r w:rsidRPr="00AC6AB9">
              <w:t>1/2013</w:t>
            </w:r>
          </w:p>
          <w:p w:rsidR="00862DC2" w:rsidRPr="00AC6AB9" w:rsidRDefault="00862DC2" w:rsidP="005242EC">
            <w:hyperlink r:id="rId20"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9F5EE1">
            <w:pPr>
              <w:pStyle w:val="ListParagraph"/>
              <w:numPr>
                <w:ilvl w:val="0"/>
                <w:numId w:val="10"/>
              </w:numPr>
            </w:pPr>
            <w:r w:rsidRPr="00AC6AB9">
              <w:t>Review licensing requirements for psychiatric units to address admission delays</w:t>
            </w:r>
          </w:p>
        </w:tc>
        <w:tc>
          <w:tcPr>
            <w:tcW w:w="6300" w:type="dxa"/>
          </w:tcPr>
          <w:p w:rsidR="00215988" w:rsidRPr="00AC6AB9" w:rsidRDefault="00215988" w:rsidP="005242EC">
            <w:r w:rsidRPr="00AC6AB9">
              <w:rPr>
                <w:b/>
              </w:rPr>
              <w:t>EOHHS</w:t>
            </w:r>
            <w:r w:rsidRPr="00AC6AB9">
              <w:t>:  ED Length of Stay Issues for Behavioral Health Patients</w:t>
            </w:r>
          </w:p>
          <w:p w:rsidR="00215988" w:rsidRDefault="00215988" w:rsidP="005242EC">
            <w:r w:rsidRPr="00AC6AB9">
              <w:t>1/2013</w:t>
            </w:r>
          </w:p>
          <w:p w:rsidR="00862DC2" w:rsidRPr="00AC6AB9" w:rsidRDefault="00862DC2" w:rsidP="005242EC">
            <w:hyperlink r:id="rId21" w:history="1">
              <w:r>
                <w:rPr>
                  <w:rStyle w:val="Hyperlink"/>
                  <w:color w:val="0000CC"/>
                </w:rPr>
                <w:t>http://www.mass.gov/eohhs/docs/eohhs/behavioral-health/bh-discussion-01022013.pdf</w:t>
              </w:r>
            </w:hyperlink>
          </w:p>
        </w:tc>
      </w:tr>
      <w:tr w:rsidR="00215988" w:rsidRPr="00AC6AB9" w:rsidTr="00215988">
        <w:tc>
          <w:tcPr>
            <w:tcW w:w="6138" w:type="dxa"/>
          </w:tcPr>
          <w:p w:rsidR="00215988" w:rsidRPr="00AC6AB9" w:rsidRDefault="00215988" w:rsidP="002E1DEA">
            <w:pPr>
              <w:pStyle w:val="ListParagraph"/>
              <w:numPr>
                <w:ilvl w:val="0"/>
                <w:numId w:val="10"/>
              </w:numPr>
            </w:pPr>
            <w:r w:rsidRPr="00AC6AB9">
              <w:t>ESP processes in hospital</w:t>
            </w:r>
          </w:p>
          <w:p w:rsidR="00215988" w:rsidRPr="00AC6AB9" w:rsidRDefault="00215988" w:rsidP="009F5EE1">
            <w:pPr>
              <w:pStyle w:val="ListParagraph"/>
              <w:numPr>
                <w:ilvl w:val="1"/>
                <w:numId w:val="10"/>
              </w:numPr>
            </w:pPr>
            <w:r w:rsidRPr="00AC6AB9">
              <w:t>Convey history of medical condition(s) and current status to psych units.</w:t>
            </w:r>
          </w:p>
        </w:tc>
        <w:tc>
          <w:tcPr>
            <w:tcW w:w="6300" w:type="dxa"/>
          </w:tcPr>
          <w:p w:rsidR="00215988" w:rsidRPr="00AC6AB9" w:rsidRDefault="00215988">
            <w:pPr>
              <w:rPr>
                <w:b/>
              </w:rPr>
            </w:pPr>
            <w:r w:rsidRPr="00AC6AB9">
              <w:rPr>
                <w:b/>
              </w:rPr>
              <w:t xml:space="preserve">DMH ED LOS and Psych Bed Access Initiative </w:t>
            </w:r>
          </w:p>
          <w:p w:rsidR="00215988" w:rsidRPr="00AC6AB9" w:rsidRDefault="00215988">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r w:rsidRPr="00AC6AB9">
              <w:t>New licensing requirements where psych hospitals/units can’t deny admission b/c of history of medical condition.</w:t>
            </w:r>
          </w:p>
        </w:tc>
        <w:tc>
          <w:tcPr>
            <w:tcW w:w="6300" w:type="dxa"/>
          </w:tcPr>
          <w:p w:rsidR="00215988" w:rsidRPr="00AC6AB9" w:rsidRDefault="00215988">
            <w:pPr>
              <w:rPr>
                <w:b/>
              </w:rPr>
            </w:pPr>
            <w:r w:rsidRPr="00AC6AB9">
              <w:rPr>
                <w:b/>
              </w:rPr>
              <w:t>DMH ED LOS and Psych Bed Access Initiative</w:t>
            </w:r>
          </w:p>
          <w:p w:rsidR="00215988" w:rsidRPr="00AC6AB9" w:rsidRDefault="00215988">
            <w:r w:rsidRPr="00AC6AB9">
              <w:t>5/2012</w:t>
            </w:r>
          </w:p>
        </w:tc>
      </w:tr>
      <w:tr w:rsidR="00215988" w:rsidRPr="00AC6AB9" w:rsidTr="00215988">
        <w:tc>
          <w:tcPr>
            <w:tcW w:w="6138" w:type="dxa"/>
          </w:tcPr>
          <w:p w:rsidR="00215988" w:rsidRPr="00AC6AB9" w:rsidRDefault="00215988" w:rsidP="004A1285">
            <w:pPr>
              <w:pStyle w:val="ListParagraph"/>
              <w:numPr>
                <w:ilvl w:val="0"/>
                <w:numId w:val="10"/>
              </w:numPr>
            </w:pPr>
            <w:r w:rsidRPr="00AC6AB9">
              <w:t>Convene a workgroup around whether psych hospitals should be able to care for more medically complex patients.</w:t>
            </w:r>
          </w:p>
        </w:tc>
        <w:tc>
          <w:tcPr>
            <w:tcW w:w="6300" w:type="dxa"/>
          </w:tcPr>
          <w:p w:rsidR="00215988" w:rsidRPr="00AC6AB9" w:rsidRDefault="00215988" w:rsidP="0050064B">
            <w:pPr>
              <w:rPr>
                <w:b/>
              </w:rPr>
            </w:pPr>
            <w:r w:rsidRPr="00AC6AB9">
              <w:rPr>
                <w:b/>
              </w:rPr>
              <w:t>DMH ED LOS and Psych Bed Access Initiative</w:t>
            </w:r>
          </w:p>
          <w:p w:rsidR="00215988" w:rsidRPr="00AC6AB9" w:rsidRDefault="00215988" w:rsidP="0050064B">
            <w:r w:rsidRPr="00AC6AB9">
              <w:t>5/2012</w:t>
            </w:r>
          </w:p>
        </w:tc>
      </w:tr>
      <w:tr w:rsidR="00215988" w:rsidRPr="00AC6AB9" w:rsidTr="00215988">
        <w:tc>
          <w:tcPr>
            <w:tcW w:w="6138" w:type="dxa"/>
          </w:tcPr>
          <w:p w:rsidR="00215988" w:rsidRPr="00AC6AB9" w:rsidRDefault="00215988" w:rsidP="004A1285">
            <w:pPr>
              <w:pStyle w:val="ListParagraph"/>
              <w:numPr>
                <w:ilvl w:val="0"/>
                <w:numId w:val="10"/>
              </w:numPr>
            </w:pPr>
            <w:r w:rsidRPr="00AC6AB9">
              <w:t xml:space="preserve">Increase bed finder utilization, have it be updated </w:t>
            </w:r>
            <w:r w:rsidRPr="00AC6AB9">
              <w:lastRenderedPageBreak/>
              <w:t>more frequently, consider it be a public good</w:t>
            </w:r>
          </w:p>
        </w:tc>
        <w:tc>
          <w:tcPr>
            <w:tcW w:w="6300" w:type="dxa"/>
          </w:tcPr>
          <w:p w:rsidR="00215988" w:rsidRPr="00AC6AB9" w:rsidRDefault="00215988" w:rsidP="0050064B">
            <w:pPr>
              <w:rPr>
                <w:b/>
              </w:rPr>
            </w:pPr>
            <w:r w:rsidRPr="00AC6AB9">
              <w:rPr>
                <w:b/>
              </w:rPr>
              <w:lastRenderedPageBreak/>
              <w:t>DMH ED LOS and Psych Bed Access Initiative</w:t>
            </w:r>
          </w:p>
          <w:p w:rsidR="00215988" w:rsidRPr="00AC6AB9" w:rsidRDefault="00215988" w:rsidP="0050064B">
            <w:r w:rsidRPr="00AC6AB9">
              <w:lastRenderedPageBreak/>
              <w:t>5/2012</w:t>
            </w:r>
          </w:p>
        </w:tc>
      </w:tr>
      <w:tr w:rsidR="00215988" w:rsidRPr="00AC6AB9" w:rsidTr="00215988">
        <w:tc>
          <w:tcPr>
            <w:tcW w:w="6138" w:type="dxa"/>
          </w:tcPr>
          <w:p w:rsidR="00215988" w:rsidRPr="00AC6AB9" w:rsidRDefault="00215988" w:rsidP="004A1285">
            <w:pPr>
              <w:pStyle w:val="ListParagraph"/>
              <w:numPr>
                <w:ilvl w:val="0"/>
                <w:numId w:val="10"/>
              </w:numPr>
            </w:pPr>
            <w:r w:rsidRPr="00AC6AB9">
              <w:lastRenderedPageBreak/>
              <w:t xml:space="preserve">For </w:t>
            </w:r>
            <w:proofErr w:type="spellStart"/>
            <w:r w:rsidRPr="00AC6AB9">
              <w:t>EDs</w:t>
            </w:r>
            <w:proofErr w:type="spellEnd"/>
            <w:r w:rsidRPr="00AC6AB9">
              <w:t xml:space="preserve"> with no / little psych support at a minimum have </w:t>
            </w:r>
            <w:proofErr w:type="spellStart"/>
            <w:r w:rsidRPr="00AC6AB9">
              <w:t>telepsych</w:t>
            </w:r>
            <w:proofErr w:type="spellEnd"/>
            <w:r w:rsidRPr="00AC6AB9">
              <w:t xml:space="preserve"> consultations, contract with an ESP or psych consultation service</w:t>
            </w:r>
          </w:p>
        </w:tc>
        <w:tc>
          <w:tcPr>
            <w:tcW w:w="6300" w:type="dxa"/>
          </w:tcPr>
          <w:p w:rsidR="00215988" w:rsidRPr="00AC6AB9" w:rsidRDefault="00215988" w:rsidP="0050064B">
            <w:pPr>
              <w:rPr>
                <w:b/>
              </w:rPr>
            </w:pPr>
            <w:r w:rsidRPr="00AC6AB9">
              <w:rPr>
                <w:b/>
              </w:rPr>
              <w:t>DMH ED LOS and Psych Bed Access Initiative</w:t>
            </w:r>
          </w:p>
          <w:p w:rsidR="00215988" w:rsidRPr="00AC6AB9" w:rsidRDefault="00215988" w:rsidP="0050064B">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proofErr w:type="spellStart"/>
            <w:r w:rsidRPr="00AC6AB9">
              <w:t>MCEs</w:t>
            </w:r>
            <w:proofErr w:type="spellEnd"/>
            <w:r w:rsidRPr="00AC6AB9">
              <w:t xml:space="preserve"> work with ESPs to develop crisis plans to prevent / divert crises</w:t>
            </w:r>
          </w:p>
        </w:tc>
        <w:tc>
          <w:tcPr>
            <w:tcW w:w="6300" w:type="dxa"/>
          </w:tcPr>
          <w:p w:rsidR="00215988" w:rsidRPr="00AC6AB9" w:rsidRDefault="00215988" w:rsidP="0050064B">
            <w:pPr>
              <w:rPr>
                <w:b/>
              </w:rPr>
            </w:pPr>
            <w:r w:rsidRPr="00AC6AB9">
              <w:rPr>
                <w:b/>
              </w:rPr>
              <w:t>DMH ED LOS and Psych Bed Access Initiative</w:t>
            </w:r>
          </w:p>
          <w:p w:rsidR="00215988" w:rsidRPr="00AC6AB9" w:rsidRDefault="00215988" w:rsidP="0050064B">
            <w:r w:rsidRPr="00AC6AB9">
              <w:t>5/2012</w:t>
            </w:r>
          </w:p>
        </w:tc>
      </w:tr>
      <w:tr w:rsidR="00215988" w:rsidRPr="00AC6AB9" w:rsidTr="00215988">
        <w:tc>
          <w:tcPr>
            <w:tcW w:w="6138" w:type="dxa"/>
          </w:tcPr>
          <w:p w:rsidR="00215988" w:rsidRPr="00AC6AB9" w:rsidRDefault="00215988" w:rsidP="004A1285">
            <w:pPr>
              <w:pStyle w:val="ListParagraph"/>
              <w:numPr>
                <w:ilvl w:val="0"/>
                <w:numId w:val="10"/>
              </w:numPr>
            </w:pPr>
            <w:r w:rsidRPr="00AC6AB9">
              <w:t xml:space="preserve"> Discuss increase psych inpatient bed capacity for CBAT and DDAR beds and the insurer role in incenting network expansion and quality improvement</w:t>
            </w:r>
          </w:p>
        </w:tc>
        <w:tc>
          <w:tcPr>
            <w:tcW w:w="6300" w:type="dxa"/>
          </w:tcPr>
          <w:p w:rsidR="00215988" w:rsidRPr="00AC6AB9" w:rsidRDefault="00215988" w:rsidP="0050064B">
            <w:pPr>
              <w:rPr>
                <w:b/>
              </w:rPr>
            </w:pPr>
            <w:r w:rsidRPr="00AC6AB9">
              <w:rPr>
                <w:b/>
              </w:rPr>
              <w:t>DMH ED LOS and Psych Bed Access Initiative</w:t>
            </w:r>
          </w:p>
          <w:p w:rsidR="00215988" w:rsidRPr="00AC6AB9" w:rsidRDefault="00215988" w:rsidP="0050064B">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r w:rsidRPr="00AC6AB9">
              <w:t>Insurers should collaborate to standardize processes and criteria for coverage of “</w:t>
            </w:r>
            <w:proofErr w:type="spellStart"/>
            <w:r w:rsidRPr="00AC6AB9">
              <w:t>specialing</w:t>
            </w:r>
            <w:proofErr w:type="spellEnd"/>
            <w:r w:rsidRPr="00AC6AB9">
              <w:t>”</w:t>
            </w:r>
          </w:p>
        </w:tc>
        <w:tc>
          <w:tcPr>
            <w:tcW w:w="6300" w:type="dxa"/>
          </w:tcPr>
          <w:p w:rsidR="00215988" w:rsidRPr="00AC6AB9" w:rsidRDefault="00215988" w:rsidP="0050064B">
            <w:pPr>
              <w:rPr>
                <w:b/>
              </w:rPr>
            </w:pPr>
            <w:r w:rsidRPr="00AC6AB9">
              <w:rPr>
                <w:b/>
              </w:rPr>
              <w:t>DMH ED LOS and Psych Bed Access Initiative</w:t>
            </w:r>
          </w:p>
          <w:p w:rsidR="00215988" w:rsidRPr="00AC6AB9" w:rsidRDefault="00215988" w:rsidP="0050064B">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r w:rsidRPr="00AC6AB9">
              <w:t xml:space="preserve">Increase awareness of </w:t>
            </w:r>
            <w:proofErr w:type="spellStart"/>
            <w:r w:rsidRPr="00AC6AB9">
              <w:t>CSPs</w:t>
            </w:r>
            <w:proofErr w:type="spellEnd"/>
            <w:r w:rsidRPr="00AC6AB9">
              <w:t xml:space="preserve"> and in-home therapy to expedite discharges</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921416">
            <w:pPr>
              <w:pStyle w:val="ListParagraph"/>
              <w:numPr>
                <w:ilvl w:val="0"/>
                <w:numId w:val="10"/>
              </w:numPr>
            </w:pPr>
            <w:r w:rsidRPr="00AC6AB9">
              <w:t>Look at data to determine right number of c/a beds for acute inpatient system – including issues regarding patients with significant DD, behavior problems, beds during summer, etc.</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921416">
            <w:pPr>
              <w:pStyle w:val="ListParagraph"/>
              <w:numPr>
                <w:ilvl w:val="0"/>
                <w:numId w:val="10"/>
              </w:numPr>
            </w:pPr>
            <w:r w:rsidRPr="00AC6AB9">
              <w:t>Crisis planning for c/a and identification of strategies for expediting IEP approvals.</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921416">
            <w:pPr>
              <w:pStyle w:val="ListParagraph"/>
              <w:numPr>
                <w:ilvl w:val="0"/>
                <w:numId w:val="10"/>
              </w:numPr>
            </w:pPr>
            <w:r w:rsidRPr="00AC6AB9">
              <w:t xml:space="preserve"> State facilitated process for ESPs, EDs, psych hospitals and communities to establish crisis plans for individuals with known aggressive behavior</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r w:rsidRPr="00AC6AB9">
              <w:t xml:space="preserve"> State monitor and collect data from psych hospitals / units regarding when and why patients are being declined for aggressive behavior reasons</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r w:rsidRPr="00AC6AB9">
              <w:t>Assessment of adequacy of inpatient bed supply</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r w:rsidRPr="00AC6AB9">
              <w:t>Assess whether units with more single rooms / higher staff ratio can help patients with aggressive behavior recover</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2E1DEA">
            <w:pPr>
              <w:pStyle w:val="ListParagraph"/>
              <w:numPr>
                <w:ilvl w:val="0"/>
                <w:numId w:val="10"/>
              </w:numPr>
            </w:pPr>
            <w:r w:rsidRPr="00AC6AB9">
              <w:t xml:space="preserve">Effective escalation process within all insurers for ED </w:t>
            </w:r>
            <w:r w:rsidRPr="00AC6AB9">
              <w:lastRenderedPageBreak/>
              <w:t>boarding and bed finding</w:t>
            </w:r>
          </w:p>
        </w:tc>
        <w:tc>
          <w:tcPr>
            <w:tcW w:w="6300" w:type="dxa"/>
          </w:tcPr>
          <w:p w:rsidR="00215988" w:rsidRPr="00AC6AB9" w:rsidRDefault="00215988" w:rsidP="00921416">
            <w:pPr>
              <w:rPr>
                <w:b/>
              </w:rPr>
            </w:pPr>
            <w:r w:rsidRPr="00AC6AB9">
              <w:rPr>
                <w:b/>
              </w:rPr>
              <w:lastRenderedPageBreak/>
              <w:t>DMH ED LOS and Psych Bed Access Initiative</w:t>
            </w:r>
          </w:p>
          <w:p w:rsidR="00215988" w:rsidRPr="00AC6AB9" w:rsidRDefault="00215988" w:rsidP="00921416">
            <w:r w:rsidRPr="00AC6AB9">
              <w:lastRenderedPageBreak/>
              <w:t>5/2012</w:t>
            </w:r>
          </w:p>
        </w:tc>
      </w:tr>
      <w:tr w:rsidR="00215988" w:rsidRPr="00AC6AB9" w:rsidTr="00215988">
        <w:tc>
          <w:tcPr>
            <w:tcW w:w="6138" w:type="dxa"/>
          </w:tcPr>
          <w:p w:rsidR="00215988" w:rsidRPr="00AC6AB9" w:rsidRDefault="00215988" w:rsidP="00921416">
            <w:pPr>
              <w:pStyle w:val="ListParagraph"/>
              <w:numPr>
                <w:ilvl w:val="0"/>
                <w:numId w:val="10"/>
              </w:numPr>
            </w:pPr>
            <w:r w:rsidRPr="00AC6AB9">
              <w:lastRenderedPageBreak/>
              <w:t xml:space="preserve">Do away with prior </w:t>
            </w:r>
            <w:proofErr w:type="spellStart"/>
            <w:r w:rsidRPr="00AC6AB9">
              <w:t>auth</w:t>
            </w:r>
            <w:proofErr w:type="spellEnd"/>
            <w:r w:rsidRPr="00AC6AB9">
              <w:t xml:space="preserve"> but continue with ESP evaluation and service provision in EDs</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r w:rsidR="00215988" w:rsidRPr="00AC6AB9" w:rsidTr="00215988">
        <w:tc>
          <w:tcPr>
            <w:tcW w:w="6138" w:type="dxa"/>
          </w:tcPr>
          <w:p w:rsidR="00215988" w:rsidRPr="00AC6AB9" w:rsidRDefault="00215988" w:rsidP="00921416">
            <w:pPr>
              <w:pStyle w:val="ListParagraph"/>
              <w:numPr>
                <w:ilvl w:val="0"/>
                <w:numId w:val="10"/>
              </w:numPr>
            </w:pPr>
            <w:r w:rsidRPr="00AC6AB9">
              <w:t>Expand positive impact of 17 DMH-funded jail diversion programs</w:t>
            </w:r>
          </w:p>
        </w:tc>
        <w:tc>
          <w:tcPr>
            <w:tcW w:w="6300" w:type="dxa"/>
          </w:tcPr>
          <w:p w:rsidR="00215988" w:rsidRPr="00AC6AB9" w:rsidRDefault="00215988" w:rsidP="00921416">
            <w:pPr>
              <w:rPr>
                <w:b/>
              </w:rPr>
            </w:pPr>
            <w:r w:rsidRPr="00AC6AB9">
              <w:rPr>
                <w:b/>
              </w:rPr>
              <w:t>DMH ED LOS and Psych Bed Access Initiative</w:t>
            </w:r>
          </w:p>
          <w:p w:rsidR="00215988" w:rsidRPr="00AC6AB9" w:rsidRDefault="00215988" w:rsidP="00921416">
            <w:r w:rsidRPr="00AC6AB9">
              <w:t>5/2012</w:t>
            </w:r>
          </w:p>
        </w:tc>
      </w:tr>
    </w:tbl>
    <w:p w:rsidR="009F5EE1" w:rsidRPr="00AC6AB9" w:rsidRDefault="009F5EE1"/>
    <w:sectPr w:rsidR="009F5EE1" w:rsidRPr="00AC6AB9" w:rsidSect="00E205AF">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6A" w:rsidRDefault="00FF676A" w:rsidP="00E205AF">
      <w:pPr>
        <w:spacing w:after="0" w:line="240" w:lineRule="auto"/>
      </w:pPr>
      <w:r>
        <w:separator/>
      </w:r>
    </w:p>
  </w:endnote>
  <w:endnote w:type="continuationSeparator" w:id="0">
    <w:p w:rsidR="00FF676A" w:rsidRDefault="00FF676A" w:rsidP="00E2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17570"/>
      <w:docPartObj>
        <w:docPartGallery w:val="Page Numbers (Bottom of Page)"/>
        <w:docPartUnique/>
      </w:docPartObj>
    </w:sdtPr>
    <w:sdtEndPr>
      <w:rPr>
        <w:color w:val="808080" w:themeColor="background1" w:themeShade="80"/>
        <w:spacing w:val="60"/>
      </w:rPr>
    </w:sdtEndPr>
    <w:sdtContent>
      <w:p w:rsidR="008D04B9" w:rsidRDefault="008D04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0CA7">
          <w:rPr>
            <w:noProof/>
          </w:rPr>
          <w:t>1</w:t>
        </w:r>
        <w:r>
          <w:rPr>
            <w:noProof/>
          </w:rPr>
          <w:fldChar w:fldCharType="end"/>
        </w:r>
        <w:r>
          <w:t xml:space="preserve"> | </w:t>
        </w:r>
        <w:r>
          <w:rPr>
            <w:color w:val="808080" w:themeColor="background1" w:themeShade="80"/>
            <w:spacing w:val="60"/>
          </w:rPr>
          <w:t>Page</w:t>
        </w:r>
      </w:p>
    </w:sdtContent>
  </w:sdt>
  <w:p w:rsidR="008D04B9" w:rsidRDefault="008D0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6A" w:rsidRDefault="00FF676A" w:rsidP="00E205AF">
      <w:pPr>
        <w:spacing w:after="0" w:line="240" w:lineRule="auto"/>
      </w:pPr>
      <w:r>
        <w:separator/>
      </w:r>
    </w:p>
  </w:footnote>
  <w:footnote w:type="continuationSeparator" w:id="0">
    <w:p w:rsidR="00FF676A" w:rsidRDefault="00FF676A" w:rsidP="00E2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79" w:rsidRDefault="001C0C79">
    <w:pPr>
      <w:pStyle w:val="Header"/>
    </w:pPr>
    <w:r>
      <w:t>Task Force on Behavioral Health Data Policies and Long Term Stays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003ED2"/>
    <w:lvl w:ilvl="0">
      <w:numFmt w:val="bullet"/>
      <w:lvlText w:val="*"/>
      <w:lvlJc w:val="left"/>
      <w:pPr>
        <w:ind w:left="0" w:firstLine="0"/>
      </w:pPr>
    </w:lvl>
  </w:abstractNum>
  <w:abstractNum w:abstractNumId="1">
    <w:nsid w:val="2AB17479"/>
    <w:multiLevelType w:val="hybridMultilevel"/>
    <w:tmpl w:val="42B8F71E"/>
    <w:lvl w:ilvl="0" w:tplc="BE16E10A">
      <w:start w:val="1"/>
      <w:numFmt w:val="bullet"/>
      <w:lvlText w:val="–"/>
      <w:lvlJc w:val="left"/>
      <w:pPr>
        <w:tabs>
          <w:tab w:val="num" w:pos="720"/>
        </w:tabs>
        <w:ind w:left="720" w:hanging="360"/>
      </w:pPr>
      <w:rPr>
        <w:rFonts w:ascii="Calibri" w:hAnsi="Calibri" w:cs="Times New Roman" w:hint="default"/>
      </w:rPr>
    </w:lvl>
    <w:lvl w:ilvl="1" w:tplc="DF3A6DC6">
      <w:start w:val="1"/>
      <w:numFmt w:val="bullet"/>
      <w:lvlText w:val="–"/>
      <w:lvlJc w:val="left"/>
      <w:pPr>
        <w:tabs>
          <w:tab w:val="num" w:pos="1440"/>
        </w:tabs>
        <w:ind w:left="1440" w:hanging="360"/>
      </w:pPr>
      <w:rPr>
        <w:rFonts w:ascii="Calibri" w:hAnsi="Calibri" w:cs="Times New Roman" w:hint="default"/>
      </w:rPr>
    </w:lvl>
    <w:lvl w:ilvl="2" w:tplc="E4F89AE8">
      <w:start w:val="1"/>
      <w:numFmt w:val="bullet"/>
      <w:lvlText w:val="–"/>
      <w:lvlJc w:val="left"/>
      <w:pPr>
        <w:tabs>
          <w:tab w:val="num" w:pos="2160"/>
        </w:tabs>
        <w:ind w:left="2160" w:hanging="360"/>
      </w:pPr>
      <w:rPr>
        <w:rFonts w:ascii="Calibri" w:hAnsi="Calibri" w:cs="Times New Roman" w:hint="default"/>
      </w:rPr>
    </w:lvl>
    <w:lvl w:ilvl="3" w:tplc="2A34515C">
      <w:start w:val="1"/>
      <w:numFmt w:val="bullet"/>
      <w:lvlText w:val="–"/>
      <w:lvlJc w:val="left"/>
      <w:pPr>
        <w:tabs>
          <w:tab w:val="num" w:pos="2880"/>
        </w:tabs>
        <w:ind w:left="2880" w:hanging="360"/>
      </w:pPr>
      <w:rPr>
        <w:rFonts w:ascii="Calibri" w:hAnsi="Calibri" w:cs="Times New Roman" w:hint="default"/>
      </w:rPr>
    </w:lvl>
    <w:lvl w:ilvl="4" w:tplc="B85E6B4E">
      <w:start w:val="1"/>
      <w:numFmt w:val="bullet"/>
      <w:lvlText w:val="–"/>
      <w:lvlJc w:val="left"/>
      <w:pPr>
        <w:tabs>
          <w:tab w:val="num" w:pos="3600"/>
        </w:tabs>
        <w:ind w:left="3600" w:hanging="360"/>
      </w:pPr>
      <w:rPr>
        <w:rFonts w:ascii="Calibri" w:hAnsi="Calibri" w:cs="Times New Roman" w:hint="default"/>
      </w:rPr>
    </w:lvl>
    <w:lvl w:ilvl="5" w:tplc="2950303A">
      <w:start w:val="1"/>
      <w:numFmt w:val="bullet"/>
      <w:lvlText w:val="–"/>
      <w:lvlJc w:val="left"/>
      <w:pPr>
        <w:tabs>
          <w:tab w:val="num" w:pos="4320"/>
        </w:tabs>
        <w:ind w:left="4320" w:hanging="360"/>
      </w:pPr>
      <w:rPr>
        <w:rFonts w:ascii="Calibri" w:hAnsi="Calibri" w:cs="Times New Roman" w:hint="default"/>
      </w:rPr>
    </w:lvl>
    <w:lvl w:ilvl="6" w:tplc="9FD8CD82">
      <w:start w:val="1"/>
      <w:numFmt w:val="bullet"/>
      <w:lvlText w:val="–"/>
      <w:lvlJc w:val="left"/>
      <w:pPr>
        <w:tabs>
          <w:tab w:val="num" w:pos="5040"/>
        </w:tabs>
        <w:ind w:left="5040" w:hanging="360"/>
      </w:pPr>
      <w:rPr>
        <w:rFonts w:ascii="Calibri" w:hAnsi="Calibri" w:cs="Times New Roman" w:hint="default"/>
      </w:rPr>
    </w:lvl>
    <w:lvl w:ilvl="7" w:tplc="9D80A8CC">
      <w:start w:val="1"/>
      <w:numFmt w:val="bullet"/>
      <w:lvlText w:val="–"/>
      <w:lvlJc w:val="left"/>
      <w:pPr>
        <w:tabs>
          <w:tab w:val="num" w:pos="5760"/>
        </w:tabs>
        <w:ind w:left="5760" w:hanging="360"/>
      </w:pPr>
      <w:rPr>
        <w:rFonts w:ascii="Calibri" w:hAnsi="Calibri" w:cs="Times New Roman" w:hint="default"/>
      </w:rPr>
    </w:lvl>
    <w:lvl w:ilvl="8" w:tplc="2910C3D8">
      <w:start w:val="1"/>
      <w:numFmt w:val="bullet"/>
      <w:lvlText w:val="–"/>
      <w:lvlJc w:val="left"/>
      <w:pPr>
        <w:tabs>
          <w:tab w:val="num" w:pos="6480"/>
        </w:tabs>
        <w:ind w:left="6480" w:hanging="360"/>
      </w:pPr>
      <w:rPr>
        <w:rFonts w:ascii="Calibri" w:hAnsi="Calibri" w:cs="Times New Roman" w:hint="default"/>
      </w:rPr>
    </w:lvl>
  </w:abstractNum>
  <w:abstractNum w:abstractNumId="2">
    <w:nsid w:val="58767F90"/>
    <w:multiLevelType w:val="hybridMultilevel"/>
    <w:tmpl w:val="0EF42C9C"/>
    <w:lvl w:ilvl="0" w:tplc="D2AA392E">
      <w:start w:val="1"/>
      <w:numFmt w:val="bullet"/>
      <w:lvlText w:val="―"/>
      <w:lvlJc w:val="left"/>
      <w:pPr>
        <w:tabs>
          <w:tab w:val="num" w:pos="720"/>
        </w:tabs>
        <w:ind w:left="720" w:hanging="360"/>
      </w:pPr>
      <w:rPr>
        <w:rFonts w:ascii="Calibri" w:hAnsi="Calibri" w:cs="Times New Roman" w:hint="default"/>
      </w:rPr>
    </w:lvl>
    <w:lvl w:ilvl="1" w:tplc="2604D5AC">
      <w:start w:val="1"/>
      <w:numFmt w:val="bullet"/>
      <w:lvlText w:val="―"/>
      <w:lvlJc w:val="left"/>
      <w:pPr>
        <w:tabs>
          <w:tab w:val="num" w:pos="1440"/>
        </w:tabs>
        <w:ind w:left="1440" w:hanging="360"/>
      </w:pPr>
      <w:rPr>
        <w:rFonts w:ascii="Calibri" w:hAnsi="Calibri" w:cs="Times New Roman" w:hint="default"/>
      </w:rPr>
    </w:lvl>
    <w:lvl w:ilvl="2" w:tplc="D7CC32F0">
      <w:start w:val="1"/>
      <w:numFmt w:val="bullet"/>
      <w:lvlText w:val="―"/>
      <w:lvlJc w:val="left"/>
      <w:pPr>
        <w:tabs>
          <w:tab w:val="num" w:pos="2160"/>
        </w:tabs>
        <w:ind w:left="2160" w:hanging="360"/>
      </w:pPr>
      <w:rPr>
        <w:rFonts w:ascii="Calibri" w:hAnsi="Calibri" w:cs="Times New Roman" w:hint="default"/>
      </w:rPr>
    </w:lvl>
    <w:lvl w:ilvl="3" w:tplc="8D00C538">
      <w:start w:val="1"/>
      <w:numFmt w:val="bullet"/>
      <w:lvlText w:val="―"/>
      <w:lvlJc w:val="left"/>
      <w:pPr>
        <w:tabs>
          <w:tab w:val="num" w:pos="2880"/>
        </w:tabs>
        <w:ind w:left="2880" w:hanging="360"/>
      </w:pPr>
      <w:rPr>
        <w:rFonts w:ascii="Calibri" w:hAnsi="Calibri" w:cs="Times New Roman" w:hint="default"/>
      </w:rPr>
    </w:lvl>
    <w:lvl w:ilvl="4" w:tplc="9B465510">
      <w:start w:val="1"/>
      <w:numFmt w:val="bullet"/>
      <w:lvlText w:val="―"/>
      <w:lvlJc w:val="left"/>
      <w:pPr>
        <w:tabs>
          <w:tab w:val="num" w:pos="3600"/>
        </w:tabs>
        <w:ind w:left="3600" w:hanging="360"/>
      </w:pPr>
      <w:rPr>
        <w:rFonts w:ascii="Calibri" w:hAnsi="Calibri" w:cs="Times New Roman" w:hint="default"/>
      </w:rPr>
    </w:lvl>
    <w:lvl w:ilvl="5" w:tplc="ABA6AA28">
      <w:start w:val="1"/>
      <w:numFmt w:val="bullet"/>
      <w:lvlText w:val="―"/>
      <w:lvlJc w:val="left"/>
      <w:pPr>
        <w:tabs>
          <w:tab w:val="num" w:pos="4320"/>
        </w:tabs>
        <w:ind w:left="4320" w:hanging="360"/>
      </w:pPr>
      <w:rPr>
        <w:rFonts w:ascii="Calibri" w:hAnsi="Calibri" w:cs="Times New Roman" w:hint="default"/>
      </w:rPr>
    </w:lvl>
    <w:lvl w:ilvl="6" w:tplc="7008513C">
      <w:start w:val="1"/>
      <w:numFmt w:val="bullet"/>
      <w:lvlText w:val="―"/>
      <w:lvlJc w:val="left"/>
      <w:pPr>
        <w:tabs>
          <w:tab w:val="num" w:pos="5040"/>
        </w:tabs>
        <w:ind w:left="5040" w:hanging="360"/>
      </w:pPr>
      <w:rPr>
        <w:rFonts w:ascii="Calibri" w:hAnsi="Calibri" w:cs="Times New Roman" w:hint="default"/>
      </w:rPr>
    </w:lvl>
    <w:lvl w:ilvl="7" w:tplc="BC44F69A">
      <w:start w:val="1"/>
      <w:numFmt w:val="bullet"/>
      <w:lvlText w:val="―"/>
      <w:lvlJc w:val="left"/>
      <w:pPr>
        <w:tabs>
          <w:tab w:val="num" w:pos="5760"/>
        </w:tabs>
        <w:ind w:left="5760" w:hanging="360"/>
      </w:pPr>
      <w:rPr>
        <w:rFonts w:ascii="Calibri" w:hAnsi="Calibri" w:cs="Times New Roman" w:hint="default"/>
      </w:rPr>
    </w:lvl>
    <w:lvl w:ilvl="8" w:tplc="3BCEBBAC">
      <w:start w:val="1"/>
      <w:numFmt w:val="bullet"/>
      <w:lvlText w:val="―"/>
      <w:lvlJc w:val="left"/>
      <w:pPr>
        <w:tabs>
          <w:tab w:val="num" w:pos="6480"/>
        </w:tabs>
        <w:ind w:left="6480" w:hanging="360"/>
      </w:pPr>
      <w:rPr>
        <w:rFonts w:ascii="Calibri" w:hAnsi="Calibri" w:cs="Times New Roman" w:hint="default"/>
      </w:rPr>
    </w:lvl>
  </w:abstractNum>
  <w:abstractNum w:abstractNumId="3">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nsid w:val="72947B2C"/>
    <w:multiLevelType w:val="hybridMultilevel"/>
    <w:tmpl w:val="2F38D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31EB7"/>
    <w:multiLevelType w:val="hybridMultilevel"/>
    <w:tmpl w:val="ED848364"/>
    <w:lvl w:ilvl="0" w:tplc="32E6FD26">
      <w:start w:val="1"/>
      <w:numFmt w:val="bullet"/>
      <w:lvlText w:val="•"/>
      <w:lvlJc w:val="left"/>
      <w:pPr>
        <w:tabs>
          <w:tab w:val="num" w:pos="720"/>
        </w:tabs>
        <w:ind w:left="720" w:hanging="360"/>
      </w:pPr>
      <w:rPr>
        <w:rFonts w:ascii="Calibri" w:hAnsi="Calibri" w:cs="Times New Roman" w:hint="default"/>
      </w:rPr>
    </w:lvl>
    <w:lvl w:ilvl="1" w:tplc="3724B3D4">
      <w:start w:val="1"/>
      <w:numFmt w:val="bullet"/>
      <w:lvlText w:val="•"/>
      <w:lvlJc w:val="left"/>
      <w:pPr>
        <w:tabs>
          <w:tab w:val="num" w:pos="1440"/>
        </w:tabs>
        <w:ind w:left="1440" w:hanging="360"/>
      </w:pPr>
      <w:rPr>
        <w:rFonts w:ascii="Calibri" w:hAnsi="Calibri" w:cs="Times New Roman" w:hint="default"/>
      </w:rPr>
    </w:lvl>
    <w:lvl w:ilvl="2" w:tplc="4122284A">
      <w:start w:val="164"/>
      <w:numFmt w:val="bullet"/>
      <w:lvlText w:val="•"/>
      <w:lvlJc w:val="left"/>
      <w:pPr>
        <w:tabs>
          <w:tab w:val="num" w:pos="2160"/>
        </w:tabs>
        <w:ind w:left="2160" w:hanging="360"/>
      </w:pPr>
      <w:rPr>
        <w:rFonts w:ascii="Calibri" w:hAnsi="Calibri" w:cs="Times New Roman" w:hint="default"/>
      </w:rPr>
    </w:lvl>
    <w:lvl w:ilvl="3" w:tplc="0DD627D8">
      <w:start w:val="1"/>
      <w:numFmt w:val="bullet"/>
      <w:lvlText w:val="•"/>
      <w:lvlJc w:val="left"/>
      <w:pPr>
        <w:tabs>
          <w:tab w:val="num" w:pos="2880"/>
        </w:tabs>
        <w:ind w:left="2880" w:hanging="360"/>
      </w:pPr>
      <w:rPr>
        <w:rFonts w:ascii="Calibri" w:hAnsi="Calibri" w:cs="Times New Roman" w:hint="default"/>
      </w:rPr>
    </w:lvl>
    <w:lvl w:ilvl="4" w:tplc="FC5E3E04">
      <w:start w:val="1"/>
      <w:numFmt w:val="bullet"/>
      <w:lvlText w:val="•"/>
      <w:lvlJc w:val="left"/>
      <w:pPr>
        <w:tabs>
          <w:tab w:val="num" w:pos="3600"/>
        </w:tabs>
        <w:ind w:left="3600" w:hanging="360"/>
      </w:pPr>
      <w:rPr>
        <w:rFonts w:ascii="Calibri" w:hAnsi="Calibri" w:cs="Times New Roman" w:hint="default"/>
      </w:rPr>
    </w:lvl>
    <w:lvl w:ilvl="5" w:tplc="7C24EE86">
      <w:start w:val="1"/>
      <w:numFmt w:val="bullet"/>
      <w:lvlText w:val="•"/>
      <w:lvlJc w:val="left"/>
      <w:pPr>
        <w:tabs>
          <w:tab w:val="num" w:pos="4320"/>
        </w:tabs>
        <w:ind w:left="4320" w:hanging="360"/>
      </w:pPr>
      <w:rPr>
        <w:rFonts w:ascii="Calibri" w:hAnsi="Calibri" w:cs="Times New Roman" w:hint="default"/>
      </w:rPr>
    </w:lvl>
    <w:lvl w:ilvl="6" w:tplc="4C2CA872">
      <w:start w:val="1"/>
      <w:numFmt w:val="bullet"/>
      <w:lvlText w:val="•"/>
      <w:lvlJc w:val="left"/>
      <w:pPr>
        <w:tabs>
          <w:tab w:val="num" w:pos="5040"/>
        </w:tabs>
        <w:ind w:left="5040" w:hanging="360"/>
      </w:pPr>
      <w:rPr>
        <w:rFonts w:ascii="Calibri" w:hAnsi="Calibri" w:cs="Times New Roman" w:hint="default"/>
      </w:rPr>
    </w:lvl>
    <w:lvl w:ilvl="7" w:tplc="B38C9C4C">
      <w:start w:val="1"/>
      <w:numFmt w:val="bullet"/>
      <w:lvlText w:val="•"/>
      <w:lvlJc w:val="left"/>
      <w:pPr>
        <w:tabs>
          <w:tab w:val="num" w:pos="5760"/>
        </w:tabs>
        <w:ind w:left="5760" w:hanging="360"/>
      </w:pPr>
      <w:rPr>
        <w:rFonts w:ascii="Calibri" w:hAnsi="Calibri" w:cs="Times New Roman" w:hint="default"/>
      </w:rPr>
    </w:lvl>
    <w:lvl w:ilvl="8" w:tplc="82CC3E1C">
      <w:start w:val="1"/>
      <w:numFmt w:val="bullet"/>
      <w:lvlText w:val="•"/>
      <w:lvlJc w:val="left"/>
      <w:pPr>
        <w:tabs>
          <w:tab w:val="num" w:pos="6480"/>
        </w:tabs>
        <w:ind w:left="6480" w:hanging="360"/>
      </w:pPr>
      <w:rPr>
        <w:rFonts w:ascii="Calibri" w:hAnsi="Calibri"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5"/>
  </w:num>
  <w:num w:numId="12">
    <w:abstractNumId w:val="2"/>
  </w:num>
  <w:num w:numId="13">
    <w:abstractNumId w:val="0"/>
    <w:lvlOverride w:ilvl="0">
      <w:lvl w:ilvl="0">
        <w:numFmt w:val="bullet"/>
        <w:lvlText w:val="•"/>
        <w:legacy w:legacy="1" w:legacySpace="0" w:legacyIndent="0"/>
        <w:lvlJc w:val="left"/>
        <w:pPr>
          <w:ind w:left="0" w:firstLine="0"/>
        </w:pPr>
        <w:rPr>
          <w:rFonts w:ascii="Calibri" w:hAnsi="Calibri" w:cs="Times New Roman" w:hint="default"/>
          <w:sz w:val="24"/>
        </w:rPr>
      </w:lvl>
    </w:lvlOverride>
  </w:num>
  <w:num w:numId="14">
    <w:abstractNumId w:val="1"/>
  </w:num>
  <w:num w:numId="15">
    <w:abstractNumId w:val="0"/>
    <w:lvlOverride w:ilvl="0">
      <w:lvl w:ilvl="0">
        <w:numFmt w:val="bullet"/>
        <w:lvlText w:val="—"/>
        <w:legacy w:legacy="1" w:legacySpace="0" w:legacyIndent="0"/>
        <w:lvlJc w:val="left"/>
        <w:pPr>
          <w:ind w:left="0" w:firstLine="0"/>
        </w:pPr>
        <w:rPr>
          <w:rFonts w:ascii="Calibri" w:hAnsi="Calibri" w:cs="Times New Roma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EA"/>
    <w:rsid w:val="00064C1B"/>
    <w:rsid w:val="00086405"/>
    <w:rsid w:val="000C02FD"/>
    <w:rsid w:val="000C60D5"/>
    <w:rsid w:val="00104B99"/>
    <w:rsid w:val="00183C52"/>
    <w:rsid w:val="001C0C79"/>
    <w:rsid w:val="001D36F5"/>
    <w:rsid w:val="00215988"/>
    <w:rsid w:val="00235DD1"/>
    <w:rsid w:val="002E1DEA"/>
    <w:rsid w:val="002F0E6B"/>
    <w:rsid w:val="003271CA"/>
    <w:rsid w:val="00346A38"/>
    <w:rsid w:val="003708CC"/>
    <w:rsid w:val="003C4343"/>
    <w:rsid w:val="0045436B"/>
    <w:rsid w:val="004A1285"/>
    <w:rsid w:val="004C60D3"/>
    <w:rsid w:val="004E2FA5"/>
    <w:rsid w:val="004F0CA7"/>
    <w:rsid w:val="0050064B"/>
    <w:rsid w:val="005242EC"/>
    <w:rsid w:val="0054611F"/>
    <w:rsid w:val="005643A0"/>
    <w:rsid w:val="00583187"/>
    <w:rsid w:val="005858B5"/>
    <w:rsid w:val="005A1972"/>
    <w:rsid w:val="006613EB"/>
    <w:rsid w:val="00683080"/>
    <w:rsid w:val="00696C72"/>
    <w:rsid w:val="006F524E"/>
    <w:rsid w:val="00780277"/>
    <w:rsid w:val="007D73BD"/>
    <w:rsid w:val="007E228F"/>
    <w:rsid w:val="00845C4D"/>
    <w:rsid w:val="00862DC2"/>
    <w:rsid w:val="008679D6"/>
    <w:rsid w:val="008D04B9"/>
    <w:rsid w:val="009016DE"/>
    <w:rsid w:val="00906983"/>
    <w:rsid w:val="00921416"/>
    <w:rsid w:val="009A55FE"/>
    <w:rsid w:val="009B5BAC"/>
    <w:rsid w:val="009F5EE1"/>
    <w:rsid w:val="00A64363"/>
    <w:rsid w:val="00A72F3C"/>
    <w:rsid w:val="00AC6AB9"/>
    <w:rsid w:val="00AE7C2D"/>
    <w:rsid w:val="00B61D1E"/>
    <w:rsid w:val="00BA45BB"/>
    <w:rsid w:val="00BC19B9"/>
    <w:rsid w:val="00BE51AD"/>
    <w:rsid w:val="00C1762E"/>
    <w:rsid w:val="00C67EAD"/>
    <w:rsid w:val="00C72C5C"/>
    <w:rsid w:val="00D62122"/>
    <w:rsid w:val="00DF462D"/>
    <w:rsid w:val="00E205AF"/>
    <w:rsid w:val="00E632C9"/>
    <w:rsid w:val="00F0260B"/>
    <w:rsid w:val="00F44992"/>
    <w:rsid w:val="00F517F3"/>
    <w:rsid w:val="00FB665F"/>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EB"/>
  </w:style>
  <w:style w:type="paragraph" w:styleId="Heading1">
    <w:name w:val="heading 1"/>
    <w:basedOn w:val="Normal"/>
    <w:next w:val="Normal"/>
    <w:link w:val="Heading1Char"/>
    <w:uiPriority w:val="99"/>
    <w:qFormat/>
    <w:rsid w:val="006613EB"/>
    <w:pPr>
      <w:numPr>
        <w:numId w:val="9"/>
      </w:numPr>
      <w:spacing w:before="480" w:after="0"/>
      <w:outlineLvl w:val="0"/>
    </w:pPr>
    <w:rPr>
      <w:rFonts w:ascii="Book Antiqua" w:eastAsia="Times New Roman" w:hAnsi="Book Antiqua" w:cs="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ascii="Book Antiqua" w:eastAsia="Times New Roman" w:hAnsi="Book Antiqua" w:cs="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ascii="Book Antiqua" w:eastAsia="Times New Roman" w:hAnsi="Book Antiqua" w:cs="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ascii="Book Antiqua" w:eastAsia="Times New Roman" w:hAnsi="Book Antiqua" w:cs="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ascii="Book Antiqua" w:eastAsia="Times New Roman" w:hAnsi="Book Antiqua" w:cs="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ascii="Book Antiqua" w:eastAsia="Times New Roman" w:hAnsi="Book Antiqua" w:cs="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ascii="Book Antiqua" w:eastAsia="Times New Roman" w:hAnsi="Book Antiqua" w:cs="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ascii="Book Antiqua" w:eastAsia="Times New Roman" w:hAnsi="Book Antiqua" w:cs="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ascii="Book Antiqua" w:eastAsia="Times New Roman" w:hAnsi="Book Antiqu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34"/>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table" w:styleId="TableGrid">
    <w:name w:val="Table Grid"/>
    <w:basedOn w:val="TableNormal"/>
    <w:uiPriority w:val="59"/>
    <w:rsid w:val="002E1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11F"/>
    <w:rPr>
      <w:color w:val="0000FF"/>
      <w:u w:val="single"/>
    </w:rPr>
  </w:style>
  <w:style w:type="paragraph" w:styleId="Header">
    <w:name w:val="header"/>
    <w:basedOn w:val="Normal"/>
    <w:link w:val="HeaderChar"/>
    <w:uiPriority w:val="99"/>
    <w:unhideWhenUsed/>
    <w:rsid w:val="00E2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AF"/>
  </w:style>
  <w:style w:type="paragraph" w:styleId="Footer">
    <w:name w:val="footer"/>
    <w:basedOn w:val="Normal"/>
    <w:link w:val="FooterChar"/>
    <w:uiPriority w:val="99"/>
    <w:unhideWhenUsed/>
    <w:rsid w:val="00E2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AF"/>
  </w:style>
  <w:style w:type="character" w:styleId="CommentReference">
    <w:name w:val="annotation reference"/>
    <w:basedOn w:val="DefaultParagraphFont"/>
    <w:uiPriority w:val="99"/>
    <w:semiHidden/>
    <w:unhideWhenUsed/>
    <w:rsid w:val="00AE7C2D"/>
    <w:rPr>
      <w:sz w:val="16"/>
      <w:szCs w:val="16"/>
    </w:rPr>
  </w:style>
  <w:style w:type="paragraph" w:styleId="CommentText">
    <w:name w:val="annotation text"/>
    <w:basedOn w:val="Normal"/>
    <w:link w:val="CommentTextChar"/>
    <w:uiPriority w:val="99"/>
    <w:semiHidden/>
    <w:unhideWhenUsed/>
    <w:rsid w:val="00AE7C2D"/>
    <w:pPr>
      <w:spacing w:line="240" w:lineRule="auto"/>
    </w:pPr>
    <w:rPr>
      <w:sz w:val="20"/>
      <w:szCs w:val="20"/>
    </w:rPr>
  </w:style>
  <w:style w:type="character" w:customStyle="1" w:styleId="CommentTextChar">
    <w:name w:val="Comment Text Char"/>
    <w:basedOn w:val="DefaultParagraphFont"/>
    <w:link w:val="CommentText"/>
    <w:uiPriority w:val="99"/>
    <w:semiHidden/>
    <w:rsid w:val="00AE7C2D"/>
    <w:rPr>
      <w:sz w:val="20"/>
      <w:szCs w:val="20"/>
    </w:rPr>
  </w:style>
  <w:style w:type="paragraph" w:styleId="CommentSubject">
    <w:name w:val="annotation subject"/>
    <w:basedOn w:val="CommentText"/>
    <w:next w:val="CommentText"/>
    <w:link w:val="CommentSubjectChar"/>
    <w:uiPriority w:val="99"/>
    <w:semiHidden/>
    <w:unhideWhenUsed/>
    <w:rsid w:val="00AE7C2D"/>
    <w:rPr>
      <w:b/>
      <w:bCs/>
    </w:rPr>
  </w:style>
  <w:style w:type="character" w:customStyle="1" w:styleId="CommentSubjectChar">
    <w:name w:val="Comment Subject Char"/>
    <w:basedOn w:val="CommentTextChar"/>
    <w:link w:val="CommentSubject"/>
    <w:uiPriority w:val="99"/>
    <w:semiHidden/>
    <w:rsid w:val="00AE7C2D"/>
    <w:rPr>
      <w:b/>
      <w:bCs/>
      <w:sz w:val="20"/>
      <w:szCs w:val="20"/>
    </w:rPr>
  </w:style>
  <w:style w:type="paragraph" w:styleId="BalloonText">
    <w:name w:val="Balloon Text"/>
    <w:basedOn w:val="Normal"/>
    <w:link w:val="BalloonTextChar"/>
    <w:uiPriority w:val="99"/>
    <w:semiHidden/>
    <w:unhideWhenUsed/>
    <w:rsid w:val="00AE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EB"/>
  </w:style>
  <w:style w:type="paragraph" w:styleId="Heading1">
    <w:name w:val="heading 1"/>
    <w:basedOn w:val="Normal"/>
    <w:next w:val="Normal"/>
    <w:link w:val="Heading1Char"/>
    <w:uiPriority w:val="99"/>
    <w:qFormat/>
    <w:rsid w:val="006613EB"/>
    <w:pPr>
      <w:numPr>
        <w:numId w:val="9"/>
      </w:numPr>
      <w:spacing w:before="480" w:after="0"/>
      <w:outlineLvl w:val="0"/>
    </w:pPr>
    <w:rPr>
      <w:rFonts w:ascii="Book Antiqua" w:eastAsia="Times New Roman" w:hAnsi="Book Antiqua" w:cs="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ascii="Book Antiqua" w:eastAsia="Times New Roman" w:hAnsi="Book Antiqua" w:cs="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ascii="Book Antiqua" w:eastAsia="Times New Roman" w:hAnsi="Book Antiqua" w:cs="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ascii="Book Antiqua" w:eastAsia="Times New Roman" w:hAnsi="Book Antiqua" w:cs="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ascii="Book Antiqua" w:eastAsia="Times New Roman" w:hAnsi="Book Antiqua" w:cs="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ascii="Book Antiqua" w:eastAsia="Times New Roman" w:hAnsi="Book Antiqua" w:cs="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ascii="Book Antiqua" w:eastAsia="Times New Roman" w:hAnsi="Book Antiqua" w:cs="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ascii="Book Antiqua" w:eastAsia="Times New Roman" w:hAnsi="Book Antiqua" w:cs="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ascii="Book Antiqua" w:eastAsia="Times New Roman" w:hAnsi="Book Antiqu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34"/>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table" w:styleId="TableGrid">
    <w:name w:val="Table Grid"/>
    <w:basedOn w:val="TableNormal"/>
    <w:uiPriority w:val="59"/>
    <w:rsid w:val="002E1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11F"/>
    <w:rPr>
      <w:color w:val="0000FF"/>
      <w:u w:val="single"/>
    </w:rPr>
  </w:style>
  <w:style w:type="paragraph" w:styleId="Header">
    <w:name w:val="header"/>
    <w:basedOn w:val="Normal"/>
    <w:link w:val="HeaderChar"/>
    <w:uiPriority w:val="99"/>
    <w:unhideWhenUsed/>
    <w:rsid w:val="00E2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AF"/>
  </w:style>
  <w:style w:type="paragraph" w:styleId="Footer">
    <w:name w:val="footer"/>
    <w:basedOn w:val="Normal"/>
    <w:link w:val="FooterChar"/>
    <w:uiPriority w:val="99"/>
    <w:unhideWhenUsed/>
    <w:rsid w:val="00E2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AF"/>
  </w:style>
  <w:style w:type="character" w:styleId="CommentReference">
    <w:name w:val="annotation reference"/>
    <w:basedOn w:val="DefaultParagraphFont"/>
    <w:uiPriority w:val="99"/>
    <w:semiHidden/>
    <w:unhideWhenUsed/>
    <w:rsid w:val="00AE7C2D"/>
    <w:rPr>
      <w:sz w:val="16"/>
      <w:szCs w:val="16"/>
    </w:rPr>
  </w:style>
  <w:style w:type="paragraph" w:styleId="CommentText">
    <w:name w:val="annotation text"/>
    <w:basedOn w:val="Normal"/>
    <w:link w:val="CommentTextChar"/>
    <w:uiPriority w:val="99"/>
    <w:semiHidden/>
    <w:unhideWhenUsed/>
    <w:rsid w:val="00AE7C2D"/>
    <w:pPr>
      <w:spacing w:line="240" w:lineRule="auto"/>
    </w:pPr>
    <w:rPr>
      <w:sz w:val="20"/>
      <w:szCs w:val="20"/>
    </w:rPr>
  </w:style>
  <w:style w:type="character" w:customStyle="1" w:styleId="CommentTextChar">
    <w:name w:val="Comment Text Char"/>
    <w:basedOn w:val="DefaultParagraphFont"/>
    <w:link w:val="CommentText"/>
    <w:uiPriority w:val="99"/>
    <w:semiHidden/>
    <w:rsid w:val="00AE7C2D"/>
    <w:rPr>
      <w:sz w:val="20"/>
      <w:szCs w:val="20"/>
    </w:rPr>
  </w:style>
  <w:style w:type="paragraph" w:styleId="CommentSubject">
    <w:name w:val="annotation subject"/>
    <w:basedOn w:val="CommentText"/>
    <w:next w:val="CommentText"/>
    <w:link w:val="CommentSubjectChar"/>
    <w:uiPriority w:val="99"/>
    <w:semiHidden/>
    <w:unhideWhenUsed/>
    <w:rsid w:val="00AE7C2D"/>
    <w:rPr>
      <w:b/>
      <w:bCs/>
    </w:rPr>
  </w:style>
  <w:style w:type="character" w:customStyle="1" w:styleId="CommentSubjectChar">
    <w:name w:val="Comment Subject Char"/>
    <w:basedOn w:val="CommentTextChar"/>
    <w:link w:val="CommentSubject"/>
    <w:uiPriority w:val="99"/>
    <w:semiHidden/>
    <w:rsid w:val="00AE7C2D"/>
    <w:rPr>
      <w:b/>
      <w:bCs/>
      <w:sz w:val="20"/>
      <w:szCs w:val="20"/>
    </w:rPr>
  </w:style>
  <w:style w:type="paragraph" w:styleId="BalloonText">
    <w:name w:val="Balloon Text"/>
    <w:basedOn w:val="Normal"/>
    <w:link w:val="BalloonTextChar"/>
    <w:uiPriority w:val="99"/>
    <w:semiHidden/>
    <w:unhideWhenUsed/>
    <w:rsid w:val="00AE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5527">
      <w:bodyDiv w:val="1"/>
      <w:marLeft w:val="0"/>
      <w:marRight w:val="0"/>
      <w:marTop w:val="0"/>
      <w:marBottom w:val="0"/>
      <w:divBdr>
        <w:top w:val="none" w:sz="0" w:space="0" w:color="auto"/>
        <w:left w:val="none" w:sz="0" w:space="0" w:color="auto"/>
        <w:bottom w:val="none" w:sz="0" w:space="0" w:color="auto"/>
        <w:right w:val="none" w:sz="0" w:space="0" w:color="auto"/>
      </w:divBdr>
    </w:div>
    <w:div w:id="124011706">
      <w:bodyDiv w:val="1"/>
      <w:marLeft w:val="0"/>
      <w:marRight w:val="0"/>
      <w:marTop w:val="0"/>
      <w:marBottom w:val="0"/>
      <w:divBdr>
        <w:top w:val="none" w:sz="0" w:space="0" w:color="auto"/>
        <w:left w:val="none" w:sz="0" w:space="0" w:color="auto"/>
        <w:bottom w:val="none" w:sz="0" w:space="0" w:color="auto"/>
        <w:right w:val="none" w:sz="0" w:space="0" w:color="auto"/>
      </w:divBdr>
    </w:div>
    <w:div w:id="288171904">
      <w:bodyDiv w:val="1"/>
      <w:marLeft w:val="0"/>
      <w:marRight w:val="0"/>
      <w:marTop w:val="0"/>
      <w:marBottom w:val="0"/>
      <w:divBdr>
        <w:top w:val="none" w:sz="0" w:space="0" w:color="auto"/>
        <w:left w:val="none" w:sz="0" w:space="0" w:color="auto"/>
        <w:bottom w:val="none" w:sz="0" w:space="0" w:color="auto"/>
        <w:right w:val="none" w:sz="0" w:space="0" w:color="auto"/>
      </w:divBdr>
    </w:div>
    <w:div w:id="323050184">
      <w:bodyDiv w:val="1"/>
      <w:marLeft w:val="0"/>
      <w:marRight w:val="0"/>
      <w:marTop w:val="0"/>
      <w:marBottom w:val="0"/>
      <w:divBdr>
        <w:top w:val="none" w:sz="0" w:space="0" w:color="auto"/>
        <w:left w:val="none" w:sz="0" w:space="0" w:color="auto"/>
        <w:bottom w:val="none" w:sz="0" w:space="0" w:color="auto"/>
        <w:right w:val="none" w:sz="0" w:space="0" w:color="auto"/>
      </w:divBdr>
    </w:div>
    <w:div w:id="1781561114">
      <w:bodyDiv w:val="1"/>
      <w:marLeft w:val="0"/>
      <w:marRight w:val="0"/>
      <w:marTop w:val="0"/>
      <w:marBottom w:val="0"/>
      <w:divBdr>
        <w:top w:val="none" w:sz="0" w:space="0" w:color="auto"/>
        <w:left w:val="none" w:sz="0" w:space="0" w:color="auto"/>
        <w:bottom w:val="none" w:sz="0" w:space="0" w:color="auto"/>
        <w:right w:val="none" w:sz="0" w:space="0" w:color="auto"/>
      </w:divBdr>
    </w:div>
    <w:div w:id="19637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ocabr/docs/doi/examination-of-carriers-compliance.pdf" TargetMode="External"/><Relationship Id="rId18" Type="http://schemas.openxmlformats.org/officeDocument/2006/relationships/hyperlink" Target="http://www.mass.gov/eohhs/docs/eohhs/behavioral-health/bh-discussion-01022013.pdf" TargetMode="External"/><Relationship Id="rId3" Type="http://schemas.openxmlformats.org/officeDocument/2006/relationships/styles" Target="styles.xml"/><Relationship Id="rId21" Type="http://schemas.openxmlformats.org/officeDocument/2006/relationships/hyperlink" Target="http://www.mass.gov/eohhs/docs/eohhs/behavioral-health/bh-discussion-01022013.pdf" TargetMode="External"/><Relationship Id="rId7" Type="http://schemas.openxmlformats.org/officeDocument/2006/relationships/footnotes" Target="footnotes.xml"/><Relationship Id="rId12" Type="http://schemas.openxmlformats.org/officeDocument/2006/relationships/hyperlink" Target="http://www.mass.gov/ocabr/docs/doi/examination-of-carriers-compliance.pdf" TargetMode="External"/><Relationship Id="rId17" Type="http://schemas.openxmlformats.org/officeDocument/2006/relationships/hyperlink" Target="http://www.mass.gov/eohhs/docs/eohhs/behavioral-health/bh-discussion-010220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eohhs/docs/eohhs/behavioral-health/bh-discussion-01022013.pdf" TargetMode="External"/><Relationship Id="rId20" Type="http://schemas.openxmlformats.org/officeDocument/2006/relationships/hyperlink" Target="http://www.mass.gov/eohhs/docs/eohhs/behavioral-health/bh-discussion-0102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ocabr/docs/doi/examination-of-carriers-complianc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ss.gov/eohhs/docs/eohhs/behavioral-health/bh-discussion-01022013.pdf" TargetMode="External"/><Relationship Id="rId23" Type="http://schemas.openxmlformats.org/officeDocument/2006/relationships/footer" Target="footer1.xml"/><Relationship Id="rId10" Type="http://schemas.openxmlformats.org/officeDocument/2006/relationships/hyperlink" Target="http://www.mass.gov/ocabr/docs/doi/examination-of-carriers-compliance.pdf" TargetMode="External"/><Relationship Id="rId19" Type="http://schemas.openxmlformats.org/officeDocument/2006/relationships/hyperlink" Target="http://www.mass.gov/eohhs/docs/eohhs/behavioral-health/bh-discussion-01022013.pdf" TargetMode="External"/><Relationship Id="rId4" Type="http://schemas.microsoft.com/office/2007/relationships/stylesWithEffects" Target="stylesWithEffects.xml"/><Relationship Id="rId9" Type="http://schemas.openxmlformats.org/officeDocument/2006/relationships/hyperlink" Target="http://www.mass.gov/ocabr/docs/doi/examination-of-carriers-compliance.pdf" TargetMode="External"/><Relationship Id="rId14" Type="http://schemas.openxmlformats.org/officeDocument/2006/relationships/hyperlink" Target="http://www.mass.gov/eohhs/docs/eohhs/behavioral-health/bh-discussion-01022013.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ilit Defaul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FBC5-D007-4B1E-9544-B3CC4677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Burns</dc:creator>
  <cp:lastModifiedBy>Megan Burns</cp:lastModifiedBy>
  <cp:revision>6</cp:revision>
  <dcterms:created xsi:type="dcterms:W3CDTF">2015-01-20T14:20:00Z</dcterms:created>
  <dcterms:modified xsi:type="dcterms:W3CDTF">2015-01-20T17:33:00Z</dcterms:modified>
</cp:coreProperties>
</file>